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青岛市即墨区赴高校招聘高层次紧缺专业人才</w:t>
      </w:r>
    </w:p>
    <w:p>
      <w:pPr>
        <w:overflowPunct w:val="0"/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优 惠 政 策</w:t>
      </w: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颁发人才服务绿卡，享受以下优惠政策：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ascii="黑体" w:hAnsi="黑体" w:eastAsia="黑体"/>
          <w:snapToGrid w:val="0"/>
          <w:spacing w:val="-6"/>
          <w:sz w:val="32"/>
          <w:szCs w:val="32"/>
        </w:rPr>
        <w:t>1.</w:t>
      </w: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发展晋升政策。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全日制硕士研究生转正定级后，可择优提拔担任副科级职务；担任副科级职务满2年后，可择优提拔担任正科级职务。全日制博士研究生转正定级后，可择优提拔担任正科级职务。全日制硕士、博士研究生，担任正科级职务满3年后，可择优提拔担任副处级职务；担任副处级职务满1年后，可按规定程序调任公务员。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2.生活补贴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。全日制博士研究生15万元，全日制硕士研究生10万元，三年内按月发放。在即墨区事业单位工作不满三年的要全额退还。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3.住房保障。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发放住房补贴，博士、硕士可分别累计享受4.32万元、2.88万元（博士研究生1200元/月、硕士研究生800元/月）。给予租房优惠，租赁人才公寓租金价格比照同区域住房市场租金最低优惠30%（租住人才公寓的不享受住房补贴）。给予购房优惠，可申请购买即墨区人才公寓，销售价格比照同区域商品住房价格最低优惠20%。</w:t>
      </w:r>
      <w:r>
        <w:rPr>
          <w:rFonts w:hint="eastAsia" w:ascii="微软雅黑" w:hAnsi="微软雅黑" w:eastAsia="微软雅黑"/>
          <w:color w:val="000000"/>
          <w:sz w:val="18"/>
          <w:szCs w:val="18"/>
          <w:shd w:val="clear" w:color="auto" w:fill="FFFFFF"/>
        </w:rPr>
        <w:t> </w:t>
      </w:r>
    </w:p>
    <w:p>
      <w:pPr>
        <w:spacing w:line="580" w:lineRule="exact"/>
        <w:ind w:firstLine="59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4.户籍办理。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引进高层次人才及其配偶、未到法定结婚年龄子女要求将户口迁入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即墨区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的，可以选择在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即墨区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合法稳定住所落户，无合法稳定住所的可以选择在工作地集体户落户。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5.随迁配偶安置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。原属机关、事业单位在编在岗人员的，相应安置到即墨区机关事业单位；原属企业单位就业的，根据随迁配偶原就业情况，通过市场推荐到企业就业。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6.子女入学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。属义务教育阶段的随迁子女，按照本人意愿，优先安排到即墨区城区优质公办学校就读。</w:t>
      </w:r>
    </w:p>
    <w:p>
      <w:pPr>
        <w:spacing w:line="580" w:lineRule="exact"/>
        <w:ind w:firstLine="590" w:firstLineChars="200"/>
        <w:rPr>
          <w:rFonts w:ascii="Helvetica" w:hAnsi="Helvetica" w:cs="Helvetica"/>
          <w:kern w:val="0"/>
          <w:sz w:val="22"/>
          <w:szCs w:val="2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7.医疗保健。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用人单位每年免费安排一次健康体检。</w:t>
      </w:r>
    </w:p>
    <w:p>
      <w:pPr>
        <w:widowControl/>
        <w:shd w:val="clear" w:color="auto" w:fill="FFFFFF"/>
        <w:spacing w:line="580" w:lineRule="exact"/>
        <w:ind w:firstLine="590" w:firstLineChars="200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8.</w:t>
      </w:r>
      <w:r>
        <w:rPr>
          <w:rFonts w:ascii="黑体" w:hAnsi="黑体" w:eastAsia="黑体"/>
          <w:snapToGrid w:val="0"/>
          <w:spacing w:val="-6"/>
          <w:sz w:val="32"/>
          <w:szCs w:val="32"/>
        </w:rPr>
        <w:t>社会保险。</w:t>
      </w:r>
      <w:r>
        <w:rPr>
          <w:rFonts w:ascii="仿宋_GB2312" w:eastAsia="仿宋_GB2312"/>
          <w:snapToGrid w:val="0"/>
          <w:spacing w:val="-6"/>
          <w:sz w:val="32"/>
          <w:szCs w:val="32"/>
        </w:rPr>
        <w:t>申请办理各项社会保险关系转移接续的，为其提供预约服务，受理材料后即时审核、限时办结。 </w:t>
      </w:r>
    </w:p>
    <w:p>
      <w:pPr>
        <w:widowControl/>
        <w:shd w:val="clear" w:color="auto" w:fill="FFFFFF"/>
        <w:spacing w:line="580" w:lineRule="exact"/>
        <w:ind w:firstLine="590" w:firstLineChars="200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9.政策服务支持。</w:t>
      </w:r>
      <w:r>
        <w:rPr>
          <w:rFonts w:ascii="仿宋_GB2312" w:eastAsia="仿宋_GB2312"/>
          <w:snapToGrid w:val="0"/>
          <w:spacing w:val="-6"/>
          <w:sz w:val="32"/>
          <w:szCs w:val="32"/>
        </w:rPr>
        <w:t>申报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上级各类</w:t>
      </w:r>
      <w:r>
        <w:rPr>
          <w:rFonts w:ascii="仿宋_GB2312" w:eastAsia="仿宋_GB2312"/>
          <w:snapToGrid w:val="0"/>
          <w:spacing w:val="-6"/>
          <w:sz w:val="32"/>
          <w:szCs w:val="32"/>
        </w:rPr>
        <w:t>人才工程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项目</w:t>
      </w:r>
      <w:r>
        <w:rPr>
          <w:rFonts w:ascii="仿宋_GB2312" w:eastAsia="仿宋_GB2312"/>
          <w:snapToGrid w:val="0"/>
          <w:spacing w:val="-6"/>
          <w:sz w:val="32"/>
          <w:szCs w:val="32"/>
        </w:rPr>
        <w:t>时，享受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人才</w:t>
      </w:r>
      <w:r>
        <w:rPr>
          <w:rFonts w:ascii="仿宋_GB2312" w:eastAsia="仿宋_GB2312"/>
          <w:snapToGrid w:val="0"/>
          <w:spacing w:val="-6"/>
          <w:sz w:val="32"/>
          <w:szCs w:val="32"/>
        </w:rPr>
        <w:t>服务专员“一对一”政策推介和咨询服务。</w:t>
      </w:r>
    </w:p>
    <w:p>
      <w:pPr>
        <w:widowControl/>
        <w:shd w:val="clear" w:color="auto" w:fill="FFFFFF"/>
        <w:spacing w:line="580" w:lineRule="exact"/>
        <w:ind w:firstLine="590" w:firstLineChars="200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黑体" w:hAnsi="黑体" w:eastAsia="黑体"/>
          <w:snapToGrid w:val="0"/>
          <w:spacing w:val="-6"/>
          <w:sz w:val="32"/>
          <w:szCs w:val="32"/>
        </w:rPr>
        <w:t>10.交通食宿补贴</w:t>
      </w: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。赴即墨参加面试考核的人员，免收面试费、体检费，报销其到即墨的往返主要交通费（火车硬席，高铁/动车二等座、全列软席列车二等软座，轮船三等舱，飞机经济舱）；发放在即食宿补贴500元。</w:t>
      </w:r>
    </w:p>
    <w:p>
      <w:pPr>
        <w:spacing w:line="580" w:lineRule="exact"/>
        <w:ind w:firstLine="590" w:firstLineChars="200"/>
        <w:rPr>
          <w:rFonts w:ascii="仿宋_GB2312" w:eastAsia="仿宋_GB2312"/>
          <w:snapToGrid w:val="0"/>
          <w:spacing w:val="-6"/>
          <w:sz w:val="32"/>
          <w:szCs w:val="32"/>
        </w:rPr>
      </w:pPr>
      <w:r>
        <w:rPr>
          <w:rFonts w:hint="eastAsia" w:ascii="仿宋_GB2312" w:eastAsia="仿宋_GB2312"/>
          <w:snapToGrid w:val="0"/>
          <w:spacing w:val="-6"/>
          <w:sz w:val="32"/>
          <w:szCs w:val="32"/>
        </w:rPr>
        <w:t>特殊人才可“一事一议”，享受相关优惠政策。</w:t>
      </w:r>
    </w:p>
    <w:p>
      <w:pPr>
        <w:spacing w:line="580" w:lineRule="exact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napToGrid w:val="0"/>
          <w:spacing w:val="-6"/>
          <w:sz w:val="32"/>
          <w:szCs w:val="32"/>
        </w:rPr>
      </w:pPr>
    </w:p>
    <w:p>
      <w:pPr>
        <w:spacing w:line="580" w:lineRule="exact"/>
        <w:jc w:val="left"/>
        <w:rPr>
          <w:rFonts w:ascii="黑体" w:hAnsi="黑体" w:eastAsia="黑体"/>
          <w:snapToGrid w:val="0"/>
          <w:spacing w:val="-6"/>
          <w:sz w:val="32"/>
          <w:szCs w:val="32"/>
        </w:rPr>
      </w:pPr>
    </w:p>
    <w:p/>
    <w:sectPr>
      <w:pgSz w:w="11906" w:h="16838"/>
      <w:pgMar w:top="2098" w:right="1474" w:bottom="1985" w:left="1588" w:header="851" w:footer="992" w:gutter="0"/>
      <w:cols w:space="425" w:num="1"/>
      <w:docGrid w:type="linesAndChars" w:linePitch="312" w:charSpace="-27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97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CCF"/>
    <w:rsid w:val="00051D61"/>
    <w:rsid w:val="00081EF9"/>
    <w:rsid w:val="00087285"/>
    <w:rsid w:val="001C3D67"/>
    <w:rsid w:val="00222CCF"/>
    <w:rsid w:val="00233F40"/>
    <w:rsid w:val="002A18AB"/>
    <w:rsid w:val="003D2D7A"/>
    <w:rsid w:val="0041787D"/>
    <w:rsid w:val="005A0AF3"/>
    <w:rsid w:val="005C0EA2"/>
    <w:rsid w:val="006978FD"/>
    <w:rsid w:val="006D7F0A"/>
    <w:rsid w:val="007412F2"/>
    <w:rsid w:val="008E3698"/>
    <w:rsid w:val="00AA6083"/>
    <w:rsid w:val="00AD5CEA"/>
    <w:rsid w:val="00C067F6"/>
    <w:rsid w:val="00CE53B4"/>
    <w:rsid w:val="00CF4EFD"/>
    <w:rsid w:val="00D3525F"/>
    <w:rsid w:val="00E5595F"/>
    <w:rsid w:val="00E83E98"/>
    <w:rsid w:val="0E112F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131</Words>
  <Characters>750</Characters>
  <Lines>6</Lines>
  <Paragraphs>1</Paragraphs>
  <TotalTime>0</TotalTime>
  <ScaleCrop>false</ScaleCrop>
  <LinksUpToDate>false</LinksUpToDate>
  <CharactersWithSpaces>880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2018-04-16T09:57:00Z</dcterms:created>
  <dc:creator>微软用户</dc:creator>
  <cp:lastModifiedBy>Administrator</cp:lastModifiedBy>
  <cp:lastPrinted>2018-04-17T00:41:00Z</cp:lastPrinted>
  <dcterms:modified xsi:type="dcterms:W3CDTF">2018-04-18T05:56:53Z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