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080"/>
        <w:gridCol w:w="2040"/>
        <w:gridCol w:w="1590"/>
        <w:gridCol w:w="19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招收人数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专业要求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年龄要求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会计岗位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会计学、财务管理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9191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周岁及以下（1984年4月27日以后出生）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普通高等教育全日制大学本科及以上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统计岗位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统计学、应用统计学、经济统计学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9191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周岁及以下（1984年4月27日以后出生）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普通高等教育全日制大学本科及以上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管理岗位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法学类：政治学与行政学、思想政治教育专业；中国语言文学类：汉语言文学，应用语言学，秘书学专业；管理学类：人力资源管理，市场营销专业。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9191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周岁及以下（1984年4月27日以后出生）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普通高等教育全日制大学本科及以上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22ECD"/>
    <w:rsid w:val="0DF2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2020-04-21T05:31:00Z</dcterms:created>
  <dc:creator>不栉进士-小娜娜</dc:creator>
  <cp:lastModifiedBy>不栉进士-小娜娜</cp:lastModifiedBy>
  <dcterms:modified xsi:type="dcterms:W3CDTF">2020-04-21T05:32:31Z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