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01F1" w:rsidRPr="003801F1" w:rsidRDefault="003801F1" w:rsidP="003801F1">
      <w:pPr>
        <w:shd w:val="clear" w:color="auto" w:fill="FFFFFF"/>
        <w:spacing w:line="520" w:lineRule="exact"/>
        <w:outlineLvl w:val="1"/>
        <w:rPr>
          <w:rFonts w:ascii="仿宋" w:eastAsia="仿宋" w:hAnsi="仿宋" w:hint="eastAsia"/>
          <w:bCs/>
          <w:color w:val="000000"/>
          <w:spacing w:val="-20"/>
          <w:sz w:val="32"/>
          <w:szCs w:val="32"/>
        </w:rPr>
      </w:pPr>
      <w:r w:rsidRPr="003801F1">
        <w:rPr>
          <w:rFonts w:ascii="仿宋" w:eastAsia="仿宋" w:hAnsi="仿宋" w:hint="eastAsia"/>
          <w:bCs/>
          <w:color w:val="000000"/>
          <w:spacing w:val="-20"/>
          <w:sz w:val="32"/>
          <w:szCs w:val="32"/>
        </w:rPr>
        <w:t>附件</w:t>
      </w:r>
    </w:p>
    <w:p w:rsidR="003801F1" w:rsidRPr="003801F1" w:rsidRDefault="003801F1" w:rsidP="003801F1">
      <w:pPr>
        <w:shd w:val="clear" w:color="auto" w:fill="FFFFFF"/>
        <w:spacing w:line="520" w:lineRule="exact"/>
        <w:outlineLvl w:val="1"/>
        <w:rPr>
          <w:rFonts w:ascii="仿宋" w:eastAsia="仿宋" w:hAnsi="仿宋" w:hint="eastAsia"/>
          <w:bCs/>
          <w:color w:val="000000"/>
          <w:spacing w:val="-20"/>
          <w:sz w:val="32"/>
          <w:szCs w:val="32"/>
        </w:rPr>
      </w:pPr>
    </w:p>
    <w:p w:rsidR="003801F1" w:rsidRPr="003801F1" w:rsidRDefault="003801F1" w:rsidP="003801F1">
      <w:pPr>
        <w:pStyle w:val="Heading21"/>
        <w:keepNext/>
        <w:keepLines/>
        <w:spacing w:after="0" w:line="520" w:lineRule="exact"/>
        <w:rPr>
          <w:rFonts w:ascii="仿宋" w:eastAsia="仿宋" w:hAnsi="仿宋" w:cs="Times New Roman"/>
          <w:bCs/>
          <w:color w:val="000000"/>
          <w:spacing w:val="-20"/>
          <w:sz w:val="44"/>
          <w:szCs w:val="44"/>
        </w:rPr>
      </w:pPr>
      <w:r w:rsidRPr="003801F1">
        <w:rPr>
          <w:rFonts w:ascii="仿宋" w:eastAsia="仿宋" w:hAnsi="仿宋" w:cs="Times New Roman" w:hint="eastAsia"/>
          <w:bCs/>
          <w:color w:val="000000"/>
          <w:spacing w:val="-20"/>
          <w:sz w:val="44"/>
          <w:szCs w:val="44"/>
        </w:rPr>
        <w:t>教育部办公厅关于2019年高水平运动队建设</w:t>
      </w:r>
    </w:p>
    <w:p w:rsidR="003801F1" w:rsidRPr="003801F1" w:rsidRDefault="003801F1" w:rsidP="003801F1">
      <w:pPr>
        <w:pStyle w:val="Heading21"/>
        <w:keepNext/>
        <w:keepLines/>
        <w:spacing w:line="520" w:lineRule="exact"/>
        <w:rPr>
          <w:rFonts w:ascii="仿宋" w:eastAsia="仿宋" w:hAnsi="仿宋" w:cs="Times New Roman" w:hint="eastAsia"/>
          <w:bCs/>
          <w:color w:val="000000"/>
          <w:spacing w:val="-20"/>
          <w:sz w:val="44"/>
          <w:szCs w:val="44"/>
        </w:rPr>
      </w:pPr>
      <w:r w:rsidRPr="003801F1">
        <w:rPr>
          <w:rFonts w:ascii="仿宋" w:eastAsia="仿宋" w:hAnsi="仿宋" w:hint="eastAsia"/>
          <w:bCs/>
          <w:color w:val="000000"/>
          <w:spacing w:val="-20"/>
          <w:sz w:val="44"/>
          <w:szCs w:val="44"/>
        </w:rPr>
        <w:t>项目</w:t>
      </w:r>
      <w:r w:rsidRPr="003801F1">
        <w:rPr>
          <w:rFonts w:ascii="仿宋" w:eastAsia="仿宋" w:hAnsi="仿宋" w:cs="Times New Roman" w:hint="eastAsia"/>
          <w:bCs/>
          <w:color w:val="000000"/>
          <w:spacing w:val="-20"/>
          <w:sz w:val="44"/>
          <w:szCs w:val="44"/>
        </w:rPr>
        <w:t>调整有关事项的通知</w:t>
      </w:r>
    </w:p>
    <w:p w:rsidR="003801F1" w:rsidRPr="003801F1" w:rsidRDefault="003801F1" w:rsidP="003801F1">
      <w:pPr>
        <w:pStyle w:val="Heading21"/>
        <w:keepNext/>
        <w:keepLines/>
        <w:spacing w:after="0" w:line="520" w:lineRule="exact"/>
        <w:rPr>
          <w:rFonts w:ascii="仿宋" w:eastAsia="仿宋" w:hAnsi="仿宋" w:cs="Times New Roman"/>
          <w:bCs/>
          <w:color w:val="000000"/>
          <w:spacing w:val="-20"/>
          <w:sz w:val="44"/>
          <w:szCs w:val="44"/>
        </w:rPr>
      </w:pPr>
    </w:p>
    <w:p w:rsidR="003801F1" w:rsidRPr="003801F1" w:rsidRDefault="003801F1" w:rsidP="003801F1">
      <w:pPr>
        <w:spacing w:line="520" w:lineRule="exact"/>
        <w:ind w:rightChars="-8" w:right="-17"/>
        <w:jc w:val="right"/>
        <w:rPr>
          <w:rFonts w:ascii="仿宋" w:eastAsia="仿宋" w:hAnsi="仿宋" w:hint="eastAsia"/>
          <w:color w:val="000000"/>
          <w:sz w:val="32"/>
          <w:szCs w:val="32"/>
        </w:rPr>
      </w:pPr>
      <w:proofErr w:type="gramStart"/>
      <w:r w:rsidRPr="003801F1">
        <w:rPr>
          <w:rFonts w:ascii="仿宋" w:eastAsia="仿宋" w:hAnsi="仿宋" w:hint="eastAsia"/>
          <w:color w:val="000000"/>
          <w:sz w:val="32"/>
          <w:szCs w:val="32"/>
        </w:rPr>
        <w:t>教体艺厅函</w:t>
      </w:r>
      <w:proofErr w:type="gramEnd"/>
      <w:r w:rsidRPr="003801F1">
        <w:rPr>
          <w:rFonts w:ascii="仿宋" w:eastAsia="仿宋" w:hAnsi="仿宋" w:hint="eastAsia"/>
          <w:color w:val="000000"/>
          <w:sz w:val="32"/>
          <w:szCs w:val="32"/>
        </w:rPr>
        <w:t>〔2019〕48号</w:t>
      </w:r>
    </w:p>
    <w:p w:rsidR="003801F1" w:rsidRPr="003801F1" w:rsidRDefault="003801F1" w:rsidP="003801F1">
      <w:pPr>
        <w:spacing w:line="520" w:lineRule="exact"/>
        <w:ind w:rightChars="-8" w:right="-17"/>
        <w:jc w:val="right"/>
        <w:rPr>
          <w:rFonts w:ascii="仿宋" w:eastAsia="仿宋" w:hAnsi="仿宋" w:hint="eastAsia"/>
          <w:color w:val="000000"/>
          <w:sz w:val="32"/>
          <w:szCs w:val="32"/>
        </w:rPr>
      </w:pPr>
    </w:p>
    <w:p w:rsidR="003801F1" w:rsidRPr="003801F1" w:rsidRDefault="003801F1" w:rsidP="003801F1">
      <w:pPr>
        <w:pStyle w:val="Bodytext1"/>
        <w:spacing w:line="520" w:lineRule="exact"/>
        <w:jc w:val="left"/>
        <w:rPr>
          <w:rFonts w:ascii="仿宋" w:eastAsia="仿宋" w:hAnsi="仿宋" w:cs="仿宋_GB2312"/>
          <w:sz w:val="32"/>
          <w:szCs w:val="32"/>
        </w:rPr>
      </w:pPr>
      <w:r w:rsidRPr="003801F1">
        <w:rPr>
          <w:rFonts w:ascii="仿宋" w:eastAsia="仿宋" w:hAnsi="仿宋" w:cs="仿宋_GB2312" w:hint="eastAsia"/>
          <w:color w:val="000000"/>
          <w:sz w:val="32"/>
          <w:szCs w:val="32"/>
        </w:rPr>
        <w:t>各省、自治区、直辖市教育厅（教委），新疆生产建设兵团教育局，部属各高等学校：</w:t>
      </w:r>
    </w:p>
    <w:p w:rsidR="003801F1" w:rsidRPr="003801F1" w:rsidRDefault="003801F1" w:rsidP="003801F1">
      <w:pPr>
        <w:pStyle w:val="Bodytext1"/>
        <w:spacing w:line="520" w:lineRule="exact"/>
        <w:ind w:firstLineChars="200" w:firstLine="640"/>
        <w:rPr>
          <w:rFonts w:ascii="仿宋" w:eastAsia="仿宋" w:hAnsi="仿宋" w:cs="仿宋_GB2312"/>
          <w:sz w:val="32"/>
          <w:szCs w:val="32"/>
        </w:rPr>
      </w:pPr>
      <w:r w:rsidRPr="003801F1">
        <w:rPr>
          <w:rFonts w:ascii="仿宋" w:eastAsia="仿宋" w:hAnsi="仿宋" w:cs="仿宋_GB2312" w:hint="eastAsia"/>
          <w:color w:val="000000"/>
          <w:sz w:val="32"/>
          <w:szCs w:val="32"/>
        </w:rPr>
        <w:t>为落实《教育部关于进一步加强普通高校高水平运动队建设的实施意见》（</w:t>
      </w:r>
      <w:proofErr w:type="gramStart"/>
      <w:r w:rsidRPr="003801F1">
        <w:rPr>
          <w:rFonts w:ascii="仿宋" w:eastAsia="仿宋" w:hAnsi="仿宋" w:cs="仿宋_GB2312" w:hint="eastAsia"/>
          <w:color w:val="000000"/>
          <w:sz w:val="32"/>
          <w:szCs w:val="32"/>
        </w:rPr>
        <w:t>教体艺</w:t>
      </w:r>
      <w:proofErr w:type="gramEnd"/>
      <w:r w:rsidRPr="003801F1">
        <w:rPr>
          <w:rFonts w:ascii="仿宋" w:eastAsia="仿宋" w:hAnsi="仿宋" w:cs="仿宋_GB2312" w:hint="eastAsia"/>
          <w:color w:val="000000"/>
          <w:sz w:val="32"/>
          <w:szCs w:val="32"/>
        </w:rPr>
        <w:t>〔2017〕6号，下简称“6号文件</w:t>
      </w:r>
      <w:r w:rsidRPr="003801F1">
        <w:rPr>
          <w:rFonts w:ascii="仿宋" w:eastAsia="仿宋" w:hAnsi="仿宋" w:cs="仿宋_GB2312"/>
          <w:color w:val="000000"/>
          <w:sz w:val="32"/>
          <w:szCs w:val="32"/>
          <w:lang w:val="en-US"/>
        </w:rPr>
        <w:t>”</w:t>
      </w:r>
      <w:r w:rsidRPr="003801F1">
        <w:rPr>
          <w:rFonts w:ascii="仿宋" w:eastAsia="仿宋" w:hAnsi="仿宋" w:cs="仿宋_GB2312" w:hint="eastAsia"/>
          <w:color w:val="000000"/>
          <w:sz w:val="32"/>
          <w:szCs w:val="32"/>
          <w:lang w:val="en-US"/>
        </w:rPr>
        <w:t>)</w:t>
      </w:r>
      <w:r w:rsidRPr="003801F1">
        <w:rPr>
          <w:rFonts w:ascii="仿宋" w:eastAsia="仿宋" w:hAnsi="仿宋" w:cs="仿宋_GB2312" w:hint="eastAsia"/>
          <w:color w:val="000000"/>
          <w:sz w:val="32"/>
          <w:szCs w:val="32"/>
        </w:rPr>
        <w:t>，进一步做好2019年高水平运动队项目的调整工作，现将有关事项通知如下。</w:t>
      </w:r>
    </w:p>
    <w:p w:rsidR="003801F1" w:rsidRPr="003801F1" w:rsidRDefault="003801F1" w:rsidP="003801F1">
      <w:pPr>
        <w:pStyle w:val="Bodytext1"/>
        <w:tabs>
          <w:tab w:val="left" w:pos="890"/>
        </w:tabs>
        <w:spacing w:line="520" w:lineRule="exact"/>
        <w:ind w:firstLineChars="200" w:firstLine="640"/>
        <w:rPr>
          <w:rFonts w:ascii="仿宋" w:eastAsia="仿宋" w:hAnsi="仿宋" w:cs="仿宋_GB2312"/>
          <w:color w:val="000000"/>
          <w:sz w:val="32"/>
          <w:szCs w:val="32"/>
        </w:rPr>
      </w:pPr>
      <w:bookmarkStart w:id="0" w:name="bookmark6"/>
      <w:r w:rsidRPr="003801F1">
        <w:rPr>
          <w:rFonts w:ascii="仿宋" w:eastAsia="仿宋" w:hAnsi="仿宋" w:cs="仿宋_GB2312" w:hint="eastAsia"/>
          <w:color w:val="000000"/>
          <w:sz w:val="32"/>
          <w:szCs w:val="32"/>
        </w:rPr>
        <w:t>一</w:t>
      </w:r>
      <w:bookmarkEnd w:id="0"/>
      <w:r w:rsidRPr="003801F1">
        <w:rPr>
          <w:rFonts w:ascii="仿宋" w:eastAsia="仿宋" w:hAnsi="仿宋" w:cs="仿宋_GB2312" w:hint="eastAsia"/>
          <w:color w:val="000000"/>
          <w:sz w:val="32"/>
          <w:szCs w:val="32"/>
        </w:rPr>
        <w:t>、各高水平运动队建设校2019年可以按照“6号文件”要求进行项目的结构优化调整。调整的项目不得超出世界大学生运动会项目和全国学生运动会项目范围。</w:t>
      </w:r>
    </w:p>
    <w:p w:rsidR="003801F1" w:rsidRPr="003801F1" w:rsidRDefault="003801F1" w:rsidP="003801F1">
      <w:pPr>
        <w:pStyle w:val="Bodytext1"/>
        <w:tabs>
          <w:tab w:val="left" w:pos="890"/>
        </w:tabs>
        <w:spacing w:line="520" w:lineRule="exact"/>
        <w:ind w:firstLineChars="200" w:firstLine="640"/>
        <w:jc w:val="left"/>
        <w:rPr>
          <w:rFonts w:ascii="仿宋" w:eastAsia="仿宋" w:hAnsi="仿宋" w:cs="仿宋_GB2312"/>
          <w:color w:val="000000"/>
          <w:sz w:val="32"/>
          <w:szCs w:val="32"/>
        </w:rPr>
      </w:pPr>
      <w:bookmarkStart w:id="1" w:name="bookmark7"/>
      <w:r w:rsidRPr="003801F1">
        <w:rPr>
          <w:rFonts w:ascii="仿宋" w:eastAsia="仿宋" w:hAnsi="仿宋" w:cs="仿宋_GB2312" w:hint="eastAsia"/>
          <w:color w:val="000000"/>
          <w:sz w:val="32"/>
          <w:szCs w:val="32"/>
        </w:rPr>
        <w:t>二</w:t>
      </w:r>
      <w:bookmarkEnd w:id="1"/>
      <w:r w:rsidRPr="003801F1">
        <w:rPr>
          <w:rFonts w:ascii="仿宋" w:eastAsia="仿宋" w:hAnsi="仿宋" w:cs="仿宋_GB2312" w:hint="eastAsia"/>
          <w:color w:val="000000"/>
          <w:sz w:val="32"/>
          <w:szCs w:val="32"/>
        </w:rPr>
        <w:t>、项目调整应坚持突出重点、发挥优势、利于竞赛、动态调整的原则，不断优化高水平运动项目的规划布局。举办棋（牌）类、定向越野、龙舟、赛艇等生源不足的高水平运动队项目有关高校要逐步停止高水平运动队招生，可向足球等国家重点发展项目、校园普及性较强和增强体质效果较好的项目进行调整，2</w:t>
      </w:r>
      <w:r w:rsidRPr="003801F1">
        <w:rPr>
          <w:rFonts w:ascii="仿宋" w:eastAsia="仿宋" w:hAnsi="仿宋" w:cs="仿宋_GB2312" w:hint="eastAsia"/>
          <w:color w:val="000000"/>
          <w:sz w:val="32"/>
          <w:szCs w:val="32"/>
          <w:lang w:val="en-US"/>
        </w:rPr>
        <w:t>0</w:t>
      </w:r>
      <w:r w:rsidRPr="003801F1">
        <w:rPr>
          <w:rFonts w:ascii="仿宋" w:eastAsia="仿宋" w:hAnsi="仿宋" w:cs="仿宋_GB2312" w:hint="eastAsia"/>
          <w:color w:val="000000"/>
          <w:sz w:val="32"/>
          <w:szCs w:val="32"/>
        </w:rPr>
        <w:t>22年前要全部停止招生或调整到位。</w:t>
      </w:r>
      <w:bookmarkStart w:id="2" w:name="bookmark8"/>
    </w:p>
    <w:p w:rsidR="003801F1" w:rsidRPr="003801F1" w:rsidRDefault="003801F1" w:rsidP="003801F1">
      <w:pPr>
        <w:pStyle w:val="Bodytext1"/>
        <w:tabs>
          <w:tab w:val="left" w:pos="890"/>
        </w:tabs>
        <w:spacing w:line="520" w:lineRule="exact"/>
        <w:ind w:firstLineChars="200" w:firstLine="640"/>
        <w:jc w:val="left"/>
        <w:rPr>
          <w:rFonts w:ascii="仿宋" w:eastAsia="仿宋" w:hAnsi="仿宋" w:cs="仿宋_GB2312"/>
          <w:color w:val="000000"/>
          <w:sz w:val="32"/>
          <w:szCs w:val="32"/>
        </w:rPr>
      </w:pPr>
      <w:r w:rsidRPr="003801F1">
        <w:rPr>
          <w:rFonts w:ascii="仿宋" w:eastAsia="仿宋" w:hAnsi="仿宋" w:cs="仿宋_GB2312" w:hint="eastAsia"/>
          <w:color w:val="000000"/>
          <w:sz w:val="32"/>
          <w:szCs w:val="32"/>
        </w:rPr>
        <w:t>三</w:t>
      </w:r>
      <w:bookmarkEnd w:id="2"/>
      <w:r w:rsidRPr="003801F1">
        <w:rPr>
          <w:rFonts w:ascii="仿宋" w:eastAsia="仿宋" w:hAnsi="仿宋" w:cs="仿宋_GB2312" w:hint="eastAsia"/>
          <w:color w:val="000000"/>
          <w:sz w:val="32"/>
          <w:szCs w:val="32"/>
        </w:rPr>
        <w:t>、根据“6号文件”确定的“严格控制高水平运动队建设</w:t>
      </w:r>
      <w:r w:rsidRPr="003801F1">
        <w:rPr>
          <w:rFonts w:ascii="仿宋" w:eastAsia="仿宋" w:hAnsi="仿宋" w:cs="仿宋_GB2312" w:hint="eastAsia"/>
          <w:color w:val="000000"/>
          <w:sz w:val="32"/>
          <w:szCs w:val="32"/>
        </w:rPr>
        <w:lastRenderedPageBreak/>
        <w:t>学校的规模总量，现有高水平运动队建设学校总数原则上不再增加</w:t>
      </w:r>
      <w:r w:rsidRPr="003801F1">
        <w:rPr>
          <w:rFonts w:ascii="仿宋" w:eastAsia="仿宋" w:hAnsi="仿宋" w:cs="仿宋_GB2312"/>
          <w:color w:val="000000"/>
          <w:sz w:val="32"/>
          <w:szCs w:val="32"/>
          <w:lang w:val="en-US"/>
        </w:rPr>
        <w:t>”</w:t>
      </w:r>
      <w:r w:rsidRPr="003801F1">
        <w:rPr>
          <w:rFonts w:ascii="仿宋" w:eastAsia="仿宋" w:hAnsi="仿宋" w:cs="仿宋_GB2312" w:hint="eastAsia"/>
          <w:color w:val="000000"/>
          <w:sz w:val="32"/>
          <w:szCs w:val="32"/>
        </w:rPr>
        <w:t>的总要求，高校高水平运动队的数量不再增加，各地可以在现有规模总量内进行校际间建设学校和项目的结构调整。各校高水平运动队建设项目除足球、冰雪项目外原则上不再增加。</w:t>
      </w:r>
    </w:p>
    <w:p w:rsidR="003801F1" w:rsidRPr="003801F1" w:rsidRDefault="003801F1" w:rsidP="003801F1">
      <w:pPr>
        <w:pStyle w:val="Bodytext1"/>
        <w:tabs>
          <w:tab w:val="left" w:pos="890"/>
        </w:tabs>
        <w:spacing w:line="520" w:lineRule="exact"/>
        <w:ind w:firstLineChars="200" w:firstLine="640"/>
        <w:rPr>
          <w:rFonts w:ascii="仿宋" w:eastAsia="仿宋" w:hAnsi="仿宋" w:cs="仿宋_GB2312"/>
          <w:color w:val="000000"/>
          <w:sz w:val="32"/>
          <w:szCs w:val="32"/>
        </w:rPr>
      </w:pPr>
      <w:bookmarkStart w:id="3" w:name="bookmark9"/>
      <w:r w:rsidRPr="003801F1">
        <w:rPr>
          <w:rFonts w:ascii="仿宋" w:eastAsia="仿宋" w:hAnsi="仿宋" w:cs="仿宋_GB2312" w:hint="eastAsia"/>
          <w:color w:val="000000"/>
          <w:sz w:val="32"/>
          <w:szCs w:val="32"/>
        </w:rPr>
        <w:t>四</w:t>
      </w:r>
      <w:bookmarkEnd w:id="3"/>
      <w:r w:rsidRPr="003801F1">
        <w:rPr>
          <w:rFonts w:ascii="仿宋" w:eastAsia="仿宋" w:hAnsi="仿宋" w:cs="仿宋_GB2312" w:hint="eastAsia"/>
          <w:color w:val="000000"/>
          <w:sz w:val="32"/>
          <w:szCs w:val="32"/>
        </w:rPr>
        <w:t>、各高水平运动队建设学校如需进行调整，新调整申报学校、项目必须按照我部印发的《“新申请学校”高水平运动队建设项目评审指标体系》（</w:t>
      </w:r>
      <w:proofErr w:type="gramStart"/>
      <w:r w:rsidRPr="003801F1">
        <w:rPr>
          <w:rFonts w:ascii="仿宋" w:eastAsia="仿宋" w:hAnsi="仿宋" w:cs="仿宋_GB2312" w:hint="eastAsia"/>
          <w:color w:val="000000"/>
          <w:sz w:val="32"/>
          <w:szCs w:val="32"/>
        </w:rPr>
        <w:t>教体艺</w:t>
      </w:r>
      <w:proofErr w:type="gramEnd"/>
      <w:r w:rsidRPr="003801F1">
        <w:rPr>
          <w:rFonts w:ascii="仿宋" w:eastAsia="仿宋" w:hAnsi="仿宋" w:cs="仿宋_GB2312" w:hint="eastAsia"/>
          <w:color w:val="000000"/>
          <w:sz w:val="32"/>
          <w:szCs w:val="32"/>
        </w:rPr>
        <w:t>〔2010〕3号）进行自我评估，并在 2019年9月10日之前，将有关书面文字材料（可含省级教育行政部门的初审意见）及电子版统一报送至教育部高校高水平运动队项目建设专家评估委员会秘书处（教育部体育卫生与艺术</w:t>
      </w:r>
      <w:proofErr w:type="gramStart"/>
      <w:r w:rsidRPr="003801F1">
        <w:rPr>
          <w:rFonts w:ascii="仿宋" w:eastAsia="仿宋" w:hAnsi="仿宋" w:cs="仿宋_GB2312" w:hint="eastAsia"/>
          <w:color w:val="000000"/>
          <w:sz w:val="32"/>
          <w:szCs w:val="32"/>
        </w:rPr>
        <w:t>教育司体卫</w:t>
      </w:r>
      <w:proofErr w:type="gramEnd"/>
      <w:r w:rsidRPr="003801F1">
        <w:rPr>
          <w:rFonts w:ascii="仿宋" w:eastAsia="仿宋" w:hAnsi="仿宋" w:cs="仿宋_GB2312" w:hint="eastAsia"/>
          <w:color w:val="000000"/>
          <w:sz w:val="32"/>
          <w:szCs w:val="32"/>
        </w:rPr>
        <w:t>处），电子版注明高校名称+拟新增（调整）的新设项目。同时，在9月10日之后请将有关材料挂至本校体育部的网站至10月1日之前，并将有关域名</w:t>
      </w:r>
      <w:r w:rsidRPr="003801F1">
        <w:rPr>
          <w:rFonts w:ascii="仿宋" w:eastAsia="仿宋" w:hAnsi="仿宋" w:cs="仿宋_GB2312" w:hint="eastAsia"/>
          <w:color w:val="000000"/>
          <w:sz w:val="32"/>
          <w:szCs w:val="32"/>
          <w:lang w:val="en-US"/>
        </w:rPr>
        <w:t xml:space="preserve">（http//） </w:t>
      </w:r>
      <w:r w:rsidRPr="003801F1">
        <w:rPr>
          <w:rFonts w:ascii="仿宋" w:eastAsia="仿宋" w:hAnsi="仿宋" w:cs="仿宋_GB2312" w:hint="eastAsia"/>
          <w:color w:val="000000"/>
          <w:sz w:val="32"/>
          <w:szCs w:val="32"/>
        </w:rPr>
        <w:t>—并报送，以便专家评估委员会专家查阅。教育部组织相应项目专家委员会将根据报送材料及网站的有关材料对建设该项目的必要性和可行性进行技术评估，再反馈省级教育行政部门审核。</w:t>
      </w:r>
    </w:p>
    <w:p w:rsidR="003801F1" w:rsidRPr="003801F1" w:rsidRDefault="003801F1" w:rsidP="003801F1">
      <w:pPr>
        <w:pStyle w:val="Bodytext1"/>
        <w:tabs>
          <w:tab w:val="left" w:pos="890"/>
        </w:tabs>
        <w:spacing w:line="520" w:lineRule="exact"/>
        <w:ind w:firstLineChars="200" w:firstLine="640"/>
        <w:jc w:val="left"/>
        <w:rPr>
          <w:rFonts w:ascii="仿宋" w:eastAsia="仿宋" w:hAnsi="仿宋" w:cs="仿宋_GB2312"/>
          <w:color w:val="000000"/>
          <w:sz w:val="32"/>
          <w:szCs w:val="32"/>
        </w:rPr>
      </w:pPr>
      <w:bookmarkStart w:id="4" w:name="bookmark10"/>
      <w:r w:rsidRPr="003801F1">
        <w:rPr>
          <w:rFonts w:ascii="仿宋" w:eastAsia="仿宋" w:hAnsi="仿宋" w:cs="仿宋_GB2312" w:hint="eastAsia"/>
          <w:color w:val="000000"/>
          <w:sz w:val="32"/>
          <w:szCs w:val="32"/>
        </w:rPr>
        <w:t>五</w:t>
      </w:r>
      <w:bookmarkEnd w:id="4"/>
      <w:r w:rsidRPr="003801F1">
        <w:rPr>
          <w:rFonts w:ascii="仿宋" w:eastAsia="仿宋" w:hAnsi="仿宋" w:cs="仿宋_GB2312" w:hint="eastAsia"/>
          <w:color w:val="000000"/>
          <w:sz w:val="32"/>
          <w:szCs w:val="32"/>
        </w:rPr>
        <w:t>、各地要进一步加强和规范对建设项目的管理，教育部在严格控制高水平运动队建设高校数量的基础上，同时实行优胜劣汰的竞争机制。从2020年起，凡2018—2019年连续两年未招生的学校或项目一律停止。各地要严格加强招生管理，规范相关工作流程，加强专业师资队伍建设。各校组建高水平运动队，设置运动项目不得打“擦边球”，沙滩排球不在排球项目范围内，如需建设，须单独申报;足球项目仅指11</w:t>
      </w:r>
      <w:proofErr w:type="gramStart"/>
      <w:r w:rsidRPr="003801F1">
        <w:rPr>
          <w:rFonts w:ascii="仿宋" w:eastAsia="仿宋" w:hAnsi="仿宋" w:cs="仿宋_GB2312" w:hint="eastAsia"/>
          <w:color w:val="000000"/>
          <w:sz w:val="32"/>
          <w:szCs w:val="32"/>
        </w:rPr>
        <w:t>人制</w:t>
      </w:r>
      <w:proofErr w:type="gramEnd"/>
      <w:r w:rsidRPr="003801F1">
        <w:rPr>
          <w:rFonts w:ascii="仿宋" w:eastAsia="仿宋" w:hAnsi="仿宋" w:cs="仿宋_GB2312" w:hint="eastAsia"/>
          <w:color w:val="000000"/>
          <w:sz w:val="32"/>
          <w:szCs w:val="32"/>
        </w:rPr>
        <w:t>室外足球项目,不再单独设其他</w:t>
      </w:r>
      <w:proofErr w:type="gramStart"/>
      <w:r w:rsidRPr="003801F1">
        <w:rPr>
          <w:rFonts w:ascii="仿宋" w:eastAsia="仿宋" w:hAnsi="仿宋" w:cs="仿宋_GB2312" w:hint="eastAsia"/>
          <w:color w:val="000000"/>
          <w:sz w:val="32"/>
          <w:szCs w:val="32"/>
        </w:rPr>
        <w:t>人制</w:t>
      </w:r>
      <w:proofErr w:type="gramEnd"/>
      <w:r w:rsidRPr="003801F1">
        <w:rPr>
          <w:rFonts w:ascii="仿宋" w:eastAsia="仿宋" w:hAnsi="仿宋" w:cs="仿宋_GB2312" w:hint="eastAsia"/>
          <w:color w:val="000000"/>
          <w:sz w:val="32"/>
          <w:szCs w:val="32"/>
        </w:rPr>
        <w:t>的足球队;篮球项目仅指5</w:t>
      </w:r>
      <w:proofErr w:type="gramStart"/>
      <w:r w:rsidRPr="003801F1">
        <w:rPr>
          <w:rFonts w:ascii="仿宋" w:eastAsia="仿宋" w:hAnsi="仿宋" w:cs="仿宋_GB2312" w:hint="eastAsia"/>
          <w:color w:val="000000"/>
          <w:sz w:val="32"/>
          <w:szCs w:val="32"/>
        </w:rPr>
        <w:t>人制</w:t>
      </w:r>
      <w:proofErr w:type="gramEnd"/>
      <w:r w:rsidRPr="003801F1">
        <w:rPr>
          <w:rFonts w:ascii="仿宋" w:eastAsia="仿宋" w:hAnsi="仿宋" w:cs="仿宋_GB2312" w:hint="eastAsia"/>
          <w:color w:val="000000"/>
          <w:sz w:val="32"/>
          <w:szCs w:val="32"/>
        </w:rPr>
        <w:t>篮球项目。</w:t>
      </w:r>
    </w:p>
    <w:p w:rsidR="003801F1" w:rsidRPr="003801F1" w:rsidRDefault="003801F1" w:rsidP="003801F1">
      <w:pPr>
        <w:pStyle w:val="Bodytext1"/>
        <w:tabs>
          <w:tab w:val="left" w:pos="890"/>
        </w:tabs>
        <w:spacing w:line="520" w:lineRule="exact"/>
        <w:ind w:firstLineChars="200" w:firstLine="640"/>
        <w:jc w:val="left"/>
        <w:rPr>
          <w:rFonts w:ascii="仿宋" w:eastAsia="仿宋" w:hAnsi="仿宋" w:hint="eastAsia"/>
          <w:sz w:val="32"/>
          <w:szCs w:val="32"/>
          <w:lang w:val="en-US"/>
        </w:rPr>
      </w:pPr>
      <w:r w:rsidRPr="003801F1">
        <w:rPr>
          <w:rFonts w:ascii="仿宋" w:eastAsia="仿宋" w:hAnsi="仿宋" w:cs="仿宋_GB2312" w:hint="eastAsia"/>
          <w:color w:val="000000"/>
          <w:sz w:val="32"/>
          <w:szCs w:val="32"/>
        </w:rPr>
        <w:lastRenderedPageBreak/>
        <w:t>联系人</w:t>
      </w:r>
      <w:r w:rsidRPr="003801F1">
        <w:rPr>
          <w:rFonts w:ascii="仿宋" w:eastAsia="仿宋" w:hAnsi="仿宋" w:cs="仿宋_GB2312" w:hint="eastAsia"/>
          <w:color w:val="000000"/>
          <w:sz w:val="32"/>
          <w:szCs w:val="32"/>
          <w:lang w:val="en-US"/>
        </w:rPr>
        <w:t>:</w:t>
      </w:r>
      <w:r w:rsidRPr="003801F1">
        <w:rPr>
          <w:rFonts w:ascii="仿宋" w:eastAsia="仿宋" w:hAnsi="仿宋" w:cs="仿宋_GB2312" w:hint="eastAsia"/>
          <w:color w:val="000000"/>
          <w:sz w:val="32"/>
          <w:szCs w:val="32"/>
        </w:rPr>
        <w:t>许弘、朱红松</w:t>
      </w:r>
      <w:r w:rsidRPr="003801F1">
        <w:rPr>
          <w:rFonts w:ascii="仿宋" w:eastAsia="仿宋" w:hAnsi="仿宋" w:cs="仿宋_GB2312" w:hint="eastAsia"/>
          <w:color w:val="000000"/>
          <w:sz w:val="32"/>
          <w:szCs w:val="32"/>
          <w:lang w:val="en-US"/>
        </w:rPr>
        <w:t>，</w:t>
      </w:r>
      <w:r w:rsidRPr="003801F1">
        <w:rPr>
          <w:rFonts w:ascii="仿宋" w:eastAsia="仿宋" w:hAnsi="仿宋" w:cs="仿宋_GB2312" w:hint="eastAsia"/>
          <w:color w:val="000000"/>
          <w:sz w:val="32"/>
          <w:szCs w:val="32"/>
        </w:rPr>
        <w:t>联系邮件</w:t>
      </w:r>
      <w:r w:rsidRPr="003801F1">
        <w:rPr>
          <w:rFonts w:ascii="仿宋" w:eastAsia="仿宋" w:hAnsi="仿宋" w:cs="仿宋_GB2312" w:hint="eastAsia"/>
          <w:color w:val="000000"/>
          <w:sz w:val="32"/>
          <w:szCs w:val="32"/>
          <w:lang w:val="en-US"/>
        </w:rPr>
        <w:t>:</w:t>
      </w:r>
      <w:proofErr w:type="spellStart"/>
      <w:proofErr w:type="gramStart"/>
      <w:r w:rsidRPr="003801F1">
        <w:rPr>
          <w:rFonts w:ascii="仿宋" w:eastAsia="仿宋" w:hAnsi="仿宋" w:cs="仿宋_GB2312" w:hint="eastAsia"/>
          <w:color w:val="000000"/>
          <w:sz w:val="32"/>
          <w:szCs w:val="32"/>
          <w:lang w:val="en-US" w:eastAsia="en-US"/>
        </w:rPr>
        <w:t>xuhong</w:t>
      </w:r>
      <w:proofErr w:type="spellEnd"/>
      <w:proofErr w:type="gramEnd"/>
      <w:r w:rsidRPr="003801F1">
        <w:rPr>
          <w:rFonts w:ascii="仿宋" w:eastAsia="仿宋" w:hAnsi="仿宋" w:cs="仿宋_GB2312" w:hint="eastAsia"/>
          <w:color w:val="000000"/>
          <w:sz w:val="32"/>
          <w:szCs w:val="32"/>
          <w:lang w:val="en-US" w:eastAsia="en-US"/>
        </w:rPr>
        <w:t>@ moe.edu.cn</w:t>
      </w:r>
    </w:p>
    <w:p w:rsidR="00BF242F" w:rsidRPr="003801F1" w:rsidRDefault="003801F1">
      <w:pPr>
        <w:rPr>
          <w:rFonts w:ascii="仿宋" w:eastAsia="仿宋" w:hAnsi="仿宋"/>
        </w:rPr>
      </w:pPr>
    </w:p>
    <w:sectPr w:rsidR="00BF242F" w:rsidRPr="003801F1" w:rsidSect="00571943">
      <w:footerReference w:type="even" r:id="rId4"/>
      <w:footerReference w:type="default" r:id="rId5"/>
      <w:pgSz w:w="11906" w:h="16838"/>
      <w:pgMar w:top="1985" w:right="1531" w:bottom="1985" w:left="1531" w:header="851" w:footer="1020" w:gutter="0"/>
      <w:pgNumType w:fmt="numberInDash"/>
      <w:cols w:space="425"/>
      <w:titlePg/>
      <w:docGrid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2B3A" w:rsidRPr="00292B3A" w:rsidRDefault="003801F1">
    <w:pPr>
      <w:pStyle w:val="a3"/>
      <w:rPr>
        <w:rFonts w:ascii="宋体" w:hAnsi="宋体"/>
        <w:sz w:val="28"/>
        <w:szCs w:val="28"/>
      </w:rPr>
    </w:pPr>
    <w:r w:rsidRPr="00292B3A">
      <w:rPr>
        <w:rFonts w:ascii="宋体" w:hAnsi="宋体"/>
        <w:sz w:val="28"/>
        <w:szCs w:val="28"/>
      </w:rPr>
      <w:fldChar w:fldCharType="begin"/>
    </w:r>
    <w:r w:rsidRPr="00292B3A">
      <w:rPr>
        <w:rFonts w:ascii="宋体" w:hAnsi="宋体"/>
        <w:sz w:val="28"/>
        <w:szCs w:val="28"/>
      </w:rPr>
      <w:instrText xml:space="preserve"> PAGE   \* MERGEFORMAT </w:instrText>
    </w:r>
    <w:r w:rsidRPr="00292B3A">
      <w:rPr>
        <w:rFonts w:ascii="宋体" w:hAnsi="宋体"/>
        <w:sz w:val="28"/>
        <w:szCs w:val="28"/>
      </w:rPr>
      <w:fldChar w:fldCharType="separate"/>
    </w:r>
    <w:r w:rsidRPr="00DE2C7A">
      <w:rPr>
        <w:rFonts w:ascii="宋体" w:hAnsi="宋体"/>
        <w:noProof/>
        <w:sz w:val="28"/>
        <w:szCs w:val="28"/>
        <w:lang w:val="zh-CN"/>
      </w:rPr>
      <w:t>-</w:t>
    </w:r>
    <w:r>
      <w:rPr>
        <w:rFonts w:ascii="宋体" w:hAnsi="宋体"/>
        <w:noProof/>
        <w:sz w:val="28"/>
        <w:szCs w:val="28"/>
      </w:rPr>
      <w:t xml:space="preserve"> 2 -</w:t>
    </w:r>
    <w:r w:rsidRPr="00292B3A">
      <w:rPr>
        <w:rFonts w:ascii="宋体" w:hAnsi="宋体"/>
        <w:sz w:val="28"/>
        <w:szCs w:val="28"/>
      </w:rPr>
      <w:fldChar w:fldCharType="end"/>
    </w:r>
  </w:p>
  <w:p w:rsidR="00292B3A" w:rsidRDefault="003801F1">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1B0" w:rsidRPr="002401B0" w:rsidRDefault="003801F1">
    <w:pPr>
      <w:pStyle w:val="a3"/>
      <w:jc w:val="right"/>
      <w:rPr>
        <w:rFonts w:ascii="宋体" w:hAnsi="宋体" w:hint="eastAsia"/>
        <w:sz w:val="28"/>
        <w:szCs w:val="28"/>
      </w:rPr>
    </w:pPr>
    <w:r w:rsidRPr="002401B0">
      <w:rPr>
        <w:rFonts w:ascii="宋体" w:hAnsi="宋体" w:hint="eastAsia"/>
        <w:sz w:val="28"/>
        <w:szCs w:val="28"/>
      </w:rPr>
      <w:fldChar w:fldCharType="begin"/>
    </w:r>
    <w:r w:rsidRPr="002401B0">
      <w:rPr>
        <w:rFonts w:ascii="宋体" w:hAnsi="宋体" w:hint="eastAsia"/>
        <w:sz w:val="28"/>
        <w:szCs w:val="28"/>
      </w:rPr>
      <w:instrText xml:space="preserve"> PAGE   \* MERGEFORMAT </w:instrText>
    </w:r>
    <w:r w:rsidRPr="002401B0">
      <w:rPr>
        <w:rFonts w:ascii="宋体" w:hAnsi="宋体" w:hint="eastAsia"/>
        <w:sz w:val="28"/>
        <w:szCs w:val="28"/>
      </w:rPr>
      <w:fldChar w:fldCharType="separate"/>
    </w:r>
    <w:r w:rsidRPr="003801F1">
      <w:rPr>
        <w:rFonts w:ascii="宋体" w:hAnsi="宋体"/>
        <w:noProof/>
        <w:sz w:val="28"/>
        <w:szCs w:val="28"/>
        <w:lang w:val="zh-CN"/>
      </w:rPr>
      <w:t>-</w:t>
    </w:r>
    <w:r>
      <w:rPr>
        <w:rFonts w:ascii="宋体" w:hAnsi="宋体"/>
        <w:noProof/>
        <w:sz w:val="28"/>
        <w:szCs w:val="28"/>
      </w:rPr>
      <w:t xml:space="preserve"> 2 -</w:t>
    </w:r>
    <w:r w:rsidRPr="002401B0">
      <w:rPr>
        <w:rFonts w:ascii="宋体" w:hAnsi="宋体" w:hint="eastAsia"/>
        <w:sz w:val="28"/>
        <w:szCs w:val="28"/>
      </w:rPr>
      <w:fldChar w:fldCharType="end"/>
    </w:r>
  </w:p>
  <w:p w:rsidR="002401B0" w:rsidRPr="002401B0" w:rsidRDefault="003801F1">
    <w:pPr>
      <w:pStyle w:val="a3"/>
      <w:rPr>
        <w:rFonts w:ascii="宋体" w:hAnsi="宋体" w:hint="eastAsia"/>
        <w:sz w:val="28"/>
        <w:szCs w:val="28"/>
      </w:rPr>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801F1"/>
    <w:rsid w:val="0008496D"/>
    <w:rsid w:val="00307B30"/>
    <w:rsid w:val="003801F1"/>
    <w:rsid w:val="008161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01F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3801F1"/>
    <w:pPr>
      <w:tabs>
        <w:tab w:val="center" w:pos="4153"/>
        <w:tab w:val="right" w:pos="8306"/>
      </w:tabs>
      <w:snapToGrid w:val="0"/>
      <w:jc w:val="left"/>
    </w:pPr>
    <w:rPr>
      <w:sz w:val="18"/>
      <w:szCs w:val="18"/>
    </w:rPr>
  </w:style>
  <w:style w:type="character" w:customStyle="1" w:styleId="Char">
    <w:name w:val="页脚 Char"/>
    <w:basedOn w:val="a0"/>
    <w:link w:val="a3"/>
    <w:uiPriority w:val="99"/>
    <w:rsid w:val="003801F1"/>
    <w:rPr>
      <w:rFonts w:ascii="Times New Roman" w:eastAsia="宋体" w:hAnsi="Times New Roman" w:cs="Times New Roman"/>
      <w:sz w:val="18"/>
      <w:szCs w:val="18"/>
    </w:rPr>
  </w:style>
  <w:style w:type="paragraph" w:customStyle="1" w:styleId="Bodytext1">
    <w:name w:val="Body text|1"/>
    <w:basedOn w:val="a"/>
    <w:qFormat/>
    <w:rsid w:val="003801F1"/>
    <w:pPr>
      <w:spacing w:line="451" w:lineRule="auto"/>
      <w:ind w:firstLine="400"/>
    </w:pPr>
    <w:rPr>
      <w:rFonts w:ascii="宋体" w:hAnsi="宋体" w:cs="宋体"/>
      <w:sz w:val="19"/>
      <w:szCs w:val="19"/>
      <w:lang w:val="zh-CN" w:bidi="zh-CN"/>
    </w:rPr>
  </w:style>
  <w:style w:type="paragraph" w:customStyle="1" w:styleId="Heading21">
    <w:name w:val="Heading #2|1"/>
    <w:basedOn w:val="a"/>
    <w:qFormat/>
    <w:rsid w:val="003801F1"/>
    <w:pPr>
      <w:spacing w:after="480" w:line="523" w:lineRule="exact"/>
      <w:jc w:val="center"/>
      <w:outlineLvl w:val="1"/>
    </w:pPr>
    <w:rPr>
      <w:rFonts w:ascii="宋体" w:hAnsi="宋体" w:cs="宋体"/>
      <w:sz w:val="28"/>
      <w:szCs w:val="28"/>
      <w:lang w:val="zh-CN" w:bidi="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172</Words>
  <Characters>982</Characters>
  <Application>Microsoft Office Word</Application>
  <DocSecurity>0</DocSecurity>
  <Lines>8</Lines>
  <Paragraphs>2</Paragraphs>
  <ScaleCrop>false</ScaleCrop>
  <Company/>
  <LinksUpToDate>false</LinksUpToDate>
  <CharactersWithSpaces>1152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2019-08-06T01:24:00Z</dcterms:created>
  <dcterms:modified xsi:type="dcterms:W3CDTF">2019-08-06T01:25:00Z</dcterms:modified>
</cp:coreProperties>
</file>