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F49" w:rsidRPr="00A54F49" w:rsidRDefault="00A54F49" w:rsidP="00A54F49">
      <w:pPr>
        <w:spacing w:line="560" w:lineRule="exact"/>
        <w:ind w:right="560"/>
        <w:rPr>
          <w:rFonts w:ascii="仿宋" w:eastAsia="仿宋" w:hAnsi="仿宋"/>
          <w:szCs w:val="32"/>
        </w:rPr>
      </w:pPr>
      <w:r w:rsidRPr="00A54F49">
        <w:rPr>
          <w:rFonts w:ascii="仿宋" w:eastAsia="仿宋" w:hAnsi="仿宋" w:hint="eastAsia"/>
          <w:szCs w:val="32"/>
        </w:rPr>
        <w:t>附件</w:t>
      </w:r>
    </w:p>
    <w:p w:rsidR="00A54F49" w:rsidRPr="00A54F49" w:rsidRDefault="00A54F49" w:rsidP="00A54F49">
      <w:pPr>
        <w:spacing w:line="560" w:lineRule="exact"/>
        <w:jc w:val="center"/>
        <w:rPr>
          <w:rFonts w:ascii="仿宋" w:eastAsia="仿宋" w:hAnsi="仿宋"/>
          <w:sz w:val="44"/>
          <w:szCs w:val="44"/>
        </w:rPr>
      </w:pPr>
    </w:p>
    <w:p w:rsidR="00A54F49" w:rsidRPr="00A54F49" w:rsidRDefault="00A54F49" w:rsidP="00A54F49">
      <w:pPr>
        <w:spacing w:line="560" w:lineRule="exact"/>
        <w:jc w:val="center"/>
        <w:rPr>
          <w:rFonts w:ascii="仿宋" w:eastAsia="仿宋" w:hAnsi="仿宋"/>
          <w:sz w:val="44"/>
          <w:szCs w:val="44"/>
        </w:rPr>
      </w:pPr>
      <w:r w:rsidRPr="00A54F49">
        <w:rPr>
          <w:rFonts w:ascii="仿宋" w:eastAsia="仿宋" w:hAnsi="仿宋" w:hint="eastAsia"/>
          <w:sz w:val="44"/>
          <w:szCs w:val="44"/>
        </w:rPr>
        <w:t>北京市第二十三届学生艺术节活动方案</w:t>
      </w:r>
    </w:p>
    <w:p w:rsidR="00A54F49" w:rsidRPr="00A54F49" w:rsidRDefault="00A54F49" w:rsidP="00A54F49">
      <w:pPr>
        <w:spacing w:line="560" w:lineRule="exact"/>
        <w:jc w:val="center"/>
        <w:rPr>
          <w:rFonts w:ascii="仿宋" w:eastAsia="仿宋" w:hAnsi="仿宋"/>
          <w:sz w:val="44"/>
          <w:szCs w:val="44"/>
        </w:rPr>
      </w:pP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一、活动对象</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本市具有正式学籍的中小学（包括小学、初中、普通高中、职业高中）、中等职业学校的学生。</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二、活动内容</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（一）合唱市级展演</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（二）冬奥歌曲征集</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（三）戏剧市级展演</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（四）优秀节目展示</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三、时间安排</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本届艺术节活动时间为</w:t>
      </w:r>
      <w:r w:rsidRPr="00A54F49">
        <w:rPr>
          <w:rFonts w:ascii="仿宋" w:eastAsia="仿宋" w:hAnsi="仿宋"/>
          <w:szCs w:val="32"/>
        </w:rPr>
        <w:t>2020年1月至12月，分为三个阶段：</w:t>
      </w:r>
    </w:p>
    <w:p w:rsidR="00A54F49" w:rsidRPr="00A54F49" w:rsidRDefault="00A54F49" w:rsidP="00A54F49">
      <w:pPr>
        <w:spacing w:line="560" w:lineRule="exact"/>
        <w:ind w:firstLineChars="200" w:firstLine="640"/>
        <w:rPr>
          <w:rFonts w:ascii="仿宋" w:eastAsia="仿宋" w:hAnsi="仿宋"/>
          <w:color w:val="000000"/>
          <w:szCs w:val="32"/>
        </w:rPr>
      </w:pPr>
      <w:r w:rsidRPr="00A54F49">
        <w:rPr>
          <w:rFonts w:ascii="仿宋" w:eastAsia="仿宋" w:hAnsi="仿宋" w:hint="eastAsia"/>
          <w:color w:val="000000"/>
          <w:szCs w:val="32"/>
        </w:rPr>
        <w:t>（一）校级活动</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学校要充分利用北京优质文化和教育资源，因地制宜组织形式多样的艺术普及课程，将课堂普及的成果呈现在学校艺术节的平台上，重点是营造浓厚的艺术节文化氛围，组织班级艺术活动，引导学生广泛参与展演、观摩，为学生的全员参与创造更多机会。</w:t>
      </w:r>
    </w:p>
    <w:p w:rsidR="00A54F49" w:rsidRPr="00A54F49" w:rsidRDefault="00A54F49" w:rsidP="00A54F49">
      <w:pPr>
        <w:spacing w:line="560" w:lineRule="exact"/>
        <w:ind w:firstLineChars="200" w:firstLine="640"/>
        <w:rPr>
          <w:rFonts w:ascii="仿宋" w:eastAsia="仿宋" w:hAnsi="仿宋"/>
          <w:color w:val="000000"/>
          <w:szCs w:val="32"/>
        </w:rPr>
      </w:pPr>
      <w:r w:rsidRPr="00A54F49">
        <w:rPr>
          <w:rFonts w:ascii="仿宋" w:eastAsia="仿宋" w:hAnsi="仿宋" w:hint="eastAsia"/>
          <w:color w:val="000000"/>
          <w:szCs w:val="32"/>
        </w:rPr>
        <w:t>（二）区级活动</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各区组织开展个人、集体项目展演，讲座，交流体验、夏令营及艺术教师素养提升等相关活动，突出特色、提升品质。在区</w:t>
      </w:r>
      <w:r w:rsidRPr="00A54F49">
        <w:rPr>
          <w:rFonts w:ascii="仿宋" w:eastAsia="仿宋" w:hAnsi="仿宋" w:hint="eastAsia"/>
          <w:szCs w:val="32"/>
        </w:rPr>
        <w:lastRenderedPageBreak/>
        <w:t>级展演阶段，鼓励校与校、区与区间的展演、展示，促进相互交流与学习。</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1.2020年4月初，各区报送合唱市级展演节目。</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2.2020年9月下旬，各区报送戏剧节市级展演节目、优秀多幕剧及独幕剧。</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3.即日起至2020年9月，各区组织冬奥歌曲征集活动。</w:t>
      </w:r>
    </w:p>
    <w:p w:rsidR="00A54F49" w:rsidRPr="00A54F49" w:rsidRDefault="00A54F49" w:rsidP="00A54F49">
      <w:pPr>
        <w:spacing w:line="560" w:lineRule="exact"/>
        <w:ind w:firstLineChars="200" w:firstLine="640"/>
        <w:rPr>
          <w:rFonts w:ascii="仿宋" w:eastAsia="仿宋" w:hAnsi="仿宋"/>
          <w:color w:val="000000"/>
          <w:szCs w:val="32"/>
        </w:rPr>
      </w:pPr>
      <w:r w:rsidRPr="00A54F49">
        <w:rPr>
          <w:rFonts w:ascii="仿宋" w:eastAsia="仿宋" w:hAnsi="仿宋" w:hint="eastAsia"/>
          <w:color w:val="000000"/>
          <w:szCs w:val="32"/>
        </w:rPr>
        <w:t>（三）市级活动</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重点是加强区域、校际间的交流和学习，让学生、教师及家长共同感受参与艺术节的成长与快乐。</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1.2020年4月下旬，组织合唱市级展演。</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2.2020年5月中下旬，组织合唱优秀节目展示。</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3.2020年9月中旬，上报冬奥歌曲。</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4.2020年10月中下旬，组织戏剧市级展演。</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 xml:space="preserve">5.2020年11月上旬，组织戏剧优秀节目展示。 </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hint="eastAsia"/>
          <w:kern w:val="2"/>
          <w:sz w:val="32"/>
          <w:szCs w:val="32"/>
        </w:rPr>
        <w:t>四、活动要求</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color w:val="000000"/>
          <w:szCs w:val="32"/>
        </w:rPr>
        <w:t>（一）</w:t>
      </w:r>
      <w:r w:rsidRPr="00A54F49">
        <w:rPr>
          <w:rFonts w:ascii="仿宋" w:eastAsia="仿宋" w:hAnsi="仿宋" w:hint="eastAsia"/>
          <w:szCs w:val="32"/>
        </w:rPr>
        <w:t>合唱市级展演</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1.校级合唱团</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1）演唱两首曲目，时间不超过10分钟,其中一首须为中国作品。</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2）不使用录音带及CD伴奏。伴奏人数不超过5人。中等职业学校合唱团的指挥和伴奏不限，其它合唱团的指挥和伴奏必须是本校教师或学生。</w:t>
      </w:r>
    </w:p>
    <w:p w:rsidR="00A54F49" w:rsidRPr="00A54F49" w:rsidRDefault="00A54F49" w:rsidP="00A54F49">
      <w:pPr>
        <w:spacing w:line="560" w:lineRule="exact"/>
        <w:ind w:firstLine="555"/>
        <w:rPr>
          <w:rFonts w:ascii="仿宋" w:eastAsia="仿宋" w:hAnsi="仿宋"/>
          <w:color w:val="000000"/>
          <w:szCs w:val="32"/>
        </w:rPr>
      </w:pPr>
      <w:r w:rsidRPr="00A54F49">
        <w:rPr>
          <w:rFonts w:ascii="仿宋" w:eastAsia="仿宋" w:hAnsi="仿宋" w:hint="eastAsia"/>
          <w:szCs w:val="32"/>
        </w:rPr>
        <w:lastRenderedPageBreak/>
        <w:t>（</w:t>
      </w:r>
      <w:r w:rsidRPr="00A54F49">
        <w:rPr>
          <w:rFonts w:ascii="仿宋" w:eastAsia="仿宋" w:hAnsi="仿宋"/>
          <w:szCs w:val="32"/>
        </w:rPr>
        <w:t>3）</w:t>
      </w:r>
      <w:proofErr w:type="gramStart"/>
      <w:r w:rsidRPr="00A54F49">
        <w:rPr>
          <w:rFonts w:ascii="仿宋" w:eastAsia="仿宋" w:hAnsi="仿宋" w:hint="eastAsia"/>
          <w:szCs w:val="32"/>
        </w:rPr>
        <w:t>金帆团除</w:t>
      </w:r>
      <w:proofErr w:type="gramEnd"/>
      <w:r w:rsidRPr="00A54F49">
        <w:rPr>
          <w:rFonts w:ascii="仿宋" w:eastAsia="仿宋" w:hAnsi="仿宋" w:hint="eastAsia"/>
          <w:szCs w:val="32"/>
        </w:rPr>
        <w:t>上述要求外，增加视唱测试环节（办法另</w:t>
      </w:r>
      <w:r w:rsidRPr="00A54F49">
        <w:rPr>
          <w:rFonts w:ascii="仿宋" w:eastAsia="仿宋" w:hAnsi="仿宋" w:hint="eastAsia"/>
          <w:color w:val="000000"/>
          <w:szCs w:val="32"/>
        </w:rPr>
        <w:t>行通知）。</w:t>
      </w:r>
    </w:p>
    <w:p w:rsidR="00A54F49" w:rsidRPr="00A54F49" w:rsidRDefault="00A54F49" w:rsidP="00A54F49">
      <w:pPr>
        <w:tabs>
          <w:tab w:val="left" w:pos="4565"/>
        </w:tabs>
        <w:spacing w:line="560" w:lineRule="exact"/>
        <w:ind w:firstLine="555"/>
        <w:rPr>
          <w:rFonts w:ascii="仿宋" w:eastAsia="仿宋" w:hAnsi="仿宋"/>
          <w:color w:val="000000"/>
          <w:szCs w:val="32"/>
        </w:rPr>
      </w:pPr>
      <w:r w:rsidRPr="00A54F49">
        <w:rPr>
          <w:rFonts w:ascii="仿宋" w:eastAsia="仿宋" w:hAnsi="仿宋" w:hint="eastAsia"/>
          <w:color w:val="000000"/>
          <w:szCs w:val="32"/>
        </w:rPr>
        <w:t>（</w:t>
      </w:r>
      <w:r w:rsidRPr="00A54F49">
        <w:rPr>
          <w:rFonts w:ascii="仿宋" w:eastAsia="仿宋" w:hAnsi="仿宋"/>
          <w:color w:val="000000"/>
          <w:szCs w:val="32"/>
        </w:rPr>
        <w:t>4）活动分组</w:t>
      </w:r>
      <w:r w:rsidRPr="00A54F49">
        <w:rPr>
          <w:rFonts w:ascii="仿宋" w:eastAsia="仿宋" w:hAnsi="仿宋"/>
          <w:color w:val="000000"/>
          <w:szCs w:val="32"/>
        </w:rPr>
        <w:tab/>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组别：</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C组（Children）：同声SA、SSA，年龄≤12周岁</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G组（Girls）：同声SSA，年龄≤15周岁</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B组（Boys）：同声TTBB，年龄≤15周岁</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GB组（Girls and Boys）：混声3部SAB，年龄≤15周岁</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t>Y组（Youth）：包括YG（SSA）、YB（TTBB）、YM（SATB），年龄≤18周岁</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人数：</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1”代表人数为31至60人合唱团，“2”代表人数为15至30人合唱团。</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注：</w:t>
      </w:r>
      <w:r w:rsidRPr="00A54F49">
        <w:rPr>
          <w:rFonts w:ascii="仿宋" w:eastAsia="仿宋" w:hAnsi="仿宋"/>
          <w:szCs w:val="32"/>
        </w:rPr>
        <w:t xml:space="preserve">S </w:t>
      </w:r>
      <w:r w:rsidRPr="00A54F49">
        <w:rPr>
          <w:rFonts w:ascii="仿宋" w:eastAsia="仿宋" w:hAnsi="仿宋" w:hint="eastAsia"/>
          <w:szCs w:val="32"/>
        </w:rPr>
        <w:t>女高音声部</w:t>
      </w:r>
      <w:r w:rsidRPr="00A54F49">
        <w:rPr>
          <w:rFonts w:ascii="仿宋" w:eastAsia="仿宋" w:hAnsi="仿宋"/>
          <w:szCs w:val="32"/>
        </w:rPr>
        <w:t> </w:t>
      </w:r>
      <w:r w:rsidRPr="00A54F49">
        <w:rPr>
          <w:rFonts w:ascii="仿宋" w:eastAsia="仿宋" w:hAnsi="仿宋" w:hint="eastAsia"/>
          <w:szCs w:val="32"/>
        </w:rPr>
        <w:t>变声前后女生和变声前男生的高声部。</w:t>
      </w:r>
    </w:p>
    <w:p w:rsidR="00A54F49" w:rsidRPr="00A54F49" w:rsidRDefault="00A54F49" w:rsidP="00A54F49">
      <w:pPr>
        <w:spacing w:line="560" w:lineRule="exact"/>
        <w:ind w:firstLineChars="400" w:firstLine="1280"/>
        <w:rPr>
          <w:rFonts w:ascii="仿宋" w:eastAsia="仿宋" w:hAnsi="仿宋"/>
          <w:szCs w:val="32"/>
        </w:rPr>
      </w:pPr>
      <w:r w:rsidRPr="00A54F49">
        <w:rPr>
          <w:rFonts w:ascii="仿宋" w:eastAsia="仿宋" w:hAnsi="仿宋"/>
          <w:szCs w:val="32"/>
        </w:rPr>
        <w:t>A 女中音声部 </w:t>
      </w:r>
      <w:r w:rsidRPr="00A54F49">
        <w:rPr>
          <w:rFonts w:ascii="仿宋" w:eastAsia="仿宋" w:hAnsi="仿宋" w:hint="eastAsia"/>
          <w:szCs w:val="32"/>
        </w:rPr>
        <w:t>变声前后女生和变声前男生的低声部。</w:t>
      </w:r>
    </w:p>
    <w:p w:rsidR="00A54F49" w:rsidRPr="00A54F49" w:rsidRDefault="00A54F49" w:rsidP="00A54F49">
      <w:pPr>
        <w:spacing w:line="560" w:lineRule="exact"/>
        <w:ind w:firstLineChars="400" w:firstLine="1280"/>
        <w:rPr>
          <w:rFonts w:ascii="仿宋" w:eastAsia="仿宋" w:hAnsi="仿宋"/>
          <w:szCs w:val="32"/>
        </w:rPr>
      </w:pPr>
      <w:r w:rsidRPr="00A54F49">
        <w:rPr>
          <w:rFonts w:ascii="仿宋" w:eastAsia="仿宋" w:hAnsi="仿宋"/>
          <w:szCs w:val="32"/>
        </w:rPr>
        <w:t>T 男高音声部 </w:t>
      </w:r>
      <w:r w:rsidRPr="00A54F49">
        <w:rPr>
          <w:rFonts w:ascii="仿宋" w:eastAsia="仿宋" w:hAnsi="仿宋" w:hint="eastAsia"/>
          <w:szCs w:val="32"/>
        </w:rPr>
        <w:t>变声后男生的高声部。</w:t>
      </w:r>
    </w:p>
    <w:p w:rsidR="00A54F49" w:rsidRPr="00A54F49" w:rsidRDefault="00A54F49" w:rsidP="00A54F49">
      <w:pPr>
        <w:spacing w:line="560" w:lineRule="exact"/>
        <w:ind w:firstLineChars="400" w:firstLine="1280"/>
        <w:rPr>
          <w:rFonts w:ascii="仿宋" w:eastAsia="仿宋" w:hAnsi="仿宋"/>
          <w:szCs w:val="32"/>
        </w:rPr>
      </w:pPr>
      <w:r w:rsidRPr="00A54F49">
        <w:rPr>
          <w:rFonts w:ascii="仿宋" w:eastAsia="仿宋" w:hAnsi="仿宋"/>
          <w:szCs w:val="32"/>
        </w:rPr>
        <w:t>B 男低音声部 </w:t>
      </w:r>
      <w:r w:rsidRPr="00A54F49">
        <w:rPr>
          <w:rFonts w:ascii="仿宋" w:eastAsia="仿宋" w:hAnsi="仿宋" w:hint="eastAsia"/>
          <w:szCs w:val="32"/>
        </w:rPr>
        <w:t>变声后男生的低声部。</w:t>
      </w:r>
    </w:p>
    <w:p w:rsidR="00A54F49" w:rsidRPr="00A54F49" w:rsidRDefault="00A54F49" w:rsidP="00A54F49">
      <w:pPr>
        <w:spacing w:line="560" w:lineRule="exact"/>
        <w:ind w:firstLineChars="400" w:firstLine="1280"/>
        <w:rPr>
          <w:rFonts w:ascii="仿宋" w:eastAsia="仿宋" w:hAnsi="仿宋"/>
          <w:szCs w:val="32"/>
        </w:rPr>
      </w:pPr>
      <w:r w:rsidRPr="00A54F49">
        <w:rPr>
          <w:rFonts w:ascii="仿宋" w:eastAsia="仿宋" w:hAnsi="仿宋"/>
          <w:szCs w:val="32"/>
        </w:rPr>
        <w:t>SAB组别中泛指变了声的男生声部。</w:t>
      </w:r>
    </w:p>
    <w:p w:rsidR="00A54F49" w:rsidRPr="00A54F49" w:rsidRDefault="00A54F49" w:rsidP="00A54F49">
      <w:pPr>
        <w:spacing w:line="560" w:lineRule="exact"/>
        <w:ind w:firstLineChars="400" w:firstLine="1280"/>
        <w:rPr>
          <w:rFonts w:ascii="仿宋" w:eastAsia="仿宋" w:hAnsi="仿宋"/>
          <w:szCs w:val="32"/>
        </w:rPr>
      </w:pPr>
      <w:r w:rsidRPr="00A54F49">
        <w:rPr>
          <w:rFonts w:ascii="仿宋" w:eastAsia="仿宋" w:hAnsi="仿宋" w:hint="eastAsia"/>
          <w:szCs w:val="32"/>
        </w:rPr>
        <w:t>除</w:t>
      </w:r>
      <w:r w:rsidRPr="00A54F49">
        <w:rPr>
          <w:rFonts w:ascii="仿宋" w:eastAsia="仿宋" w:hAnsi="仿宋"/>
          <w:szCs w:val="32"/>
        </w:rPr>
        <w:t>TTBB外，SAB和SATB有可能全部由男生组成。</w:t>
      </w:r>
    </w:p>
    <w:tbl>
      <w:tblPr>
        <w:tblW w:w="9073" w:type="dxa"/>
        <w:tblLook w:val="00A0"/>
      </w:tblPr>
      <w:tblGrid>
        <w:gridCol w:w="1560"/>
        <w:gridCol w:w="709"/>
        <w:gridCol w:w="709"/>
        <w:gridCol w:w="709"/>
        <w:gridCol w:w="850"/>
        <w:gridCol w:w="851"/>
        <w:gridCol w:w="1134"/>
        <w:gridCol w:w="1275"/>
        <w:gridCol w:w="1276"/>
      </w:tblGrid>
      <w:tr w:rsidR="00A54F49" w:rsidRPr="00A54F49" w:rsidTr="002724A6">
        <w:trPr>
          <w:trHeight w:val="600"/>
        </w:trPr>
        <w:tc>
          <w:tcPr>
            <w:tcW w:w="1560" w:type="dxa"/>
            <w:vMerge w:val="restart"/>
            <w:tcBorders>
              <w:top w:val="single" w:sz="4" w:space="0" w:color="auto"/>
              <w:left w:val="single" w:sz="4" w:space="0" w:color="auto"/>
              <w:bottom w:val="single" w:sz="4" w:space="0" w:color="000000"/>
              <w:right w:val="single" w:sz="4" w:space="0" w:color="auto"/>
            </w:tcBorders>
            <w:noWrap/>
            <w:vAlign w:val="center"/>
          </w:tcPr>
          <w:p w:rsidR="00A54F49" w:rsidRPr="00A54F49" w:rsidRDefault="00A54F49" w:rsidP="002724A6">
            <w:pPr>
              <w:widowControl/>
              <w:spacing w:line="380" w:lineRule="exact"/>
              <w:ind w:firstLineChars="150" w:firstLine="315"/>
              <w:jc w:val="right"/>
              <w:rPr>
                <w:rFonts w:ascii="仿宋" w:eastAsia="仿宋" w:hAnsi="仿宋" w:cs="宋体" w:hint="eastAsia"/>
                <w:color w:val="000000"/>
                <w:kern w:val="0"/>
                <w:sz w:val="21"/>
                <w:szCs w:val="21"/>
              </w:rPr>
            </w:pPr>
            <w:r w:rsidRPr="00A54F49">
              <w:rPr>
                <w:rFonts w:ascii="仿宋" w:eastAsia="仿宋" w:hAnsi="仿宋" w:hint="eastAsia"/>
                <w:noProof/>
                <w:sz w:val="21"/>
                <w:szCs w:val="21"/>
              </w:rPr>
              <w:pict>
                <v:shapetype id="_x0000_t32" coordsize="21600,21600" o:spt="32" o:oned="t" path="m,l21600,21600e" filled="f">
                  <v:path arrowok="t" fillok="f" o:connecttype="none"/>
                  <o:lock v:ext="edit" shapetype="t"/>
                </v:shapetype>
                <v:shape id="AutoShape 2" o:spid="_x0000_s1026" type="#_x0000_t32" style="position:absolute;left:0;text-align:left;margin-left:-4.8pt;margin-top:.35pt;width:75.1pt;height:56.4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BkLIQIAAD8EAAAOAAAAZHJzL2Uyb0RvYy54bWysU8lu2zAQvRfoPxC6O1riVbAcBJLdS9oa&#10;SPoBNElJRCUOQdKWjaL/3iG9wGkvRVEf6KFm5s3yHpdPx74jB2GsBFVE6UMSEaEYcKmaIvr2thnN&#10;I2IdVZx2oEQRnYSNnlYfPywHnYsMWui4MARBlM0HXUStczqPY8ta0VP7AFoodNZgeurwapqYGzog&#10;et/FWZJM4wEM1waYsBa/VmdntAr4dS2Y+1rXVjjSFRH25sJpwrnzZ7xa0rwxVLeSXdqg/9BFT6XC&#10;ojeoijpK9kb+AdVLZsBC7R4Y9DHUtWQizIDTpMlv07y2VIswCy7H6tua7P+DZV8OW0MkR+4iomiP&#10;FD3vHYTKJPPrGbTNMapUW+MHZEf1ql+AfbdEQdlS1YgQ/HbSmJv6jPhdir9YjUV2w2fgGEMRP+zq&#10;WJveQ+IWyDFQcrpRIo6OMPy4mDzOZkgcQ9csnWbzQFlM82uyNtZ9EtATbxSRdYbKpnUlKIXkg0lD&#10;KXp4sc63RvNrgq+sYCO7LmigU2Tw5bJJSLDQSe6dPsyaZld2hhyoV1H4hTnRcx9mYK94AGsF5euL&#10;7ajszjYW75THw+GwnYt1lsmPRbJYz9fz8WicTdejcVJVo+dNOR5NN+lsUj1WZVmlP31r6ThvJedC&#10;+e6ukk3HfyeJy+M5i+0m2tsa4vfoYV/Y7PU/NB3Y9YSepbEDftqaK+uo0hB8eVH+Gdzf0b5/96tf&#10;AAAA//8DAFBLAwQUAAYACAAAACEAk7kfMtwAAAAHAQAADwAAAGRycy9kb3ducmV2LnhtbEyOQU/C&#10;QBSE7yT+h80z8UJgtygotVtCTDxwFEi8Lt1nW+2+bbpbWvn1PE56m8lMZr5sM7pGnLELtScNyVyB&#10;QCq8ranUcDy8z15AhGjImsYTavjFAJv8bpKZ1PqBPvC8j6XgEQqp0VDF2KZShqJCZ8Lct0icffnO&#10;mci2K6XtzMDjrpELpVbSmZr4oTItvlVY/Ox7pwFDv0zUdu3K4+4yTD8Xl++hPWj9cD9uX0FEHONf&#10;GW74jA45M518TzaIRsNsveKmhmcQt/RJsT2xSB6XIPNM/ufPrwAAAP//AwBQSwECLQAUAAYACAAA&#10;ACEAtoM4kv4AAADhAQAAEwAAAAAAAAAAAAAAAAAAAAAAW0NvbnRlbnRfVHlwZXNdLnhtbFBLAQIt&#10;ABQABgAIAAAAIQA4/SH/1gAAAJQBAAALAAAAAAAAAAAAAAAAAC8BAABfcmVscy8ucmVsc1BLAQIt&#10;ABQABgAIAAAAIQDZpBkLIQIAAD8EAAAOAAAAAAAAAAAAAAAAAC4CAABkcnMvZTJvRG9jLnhtbFBL&#10;AQItABQABgAIAAAAIQCTuR8y3AAAAAcBAAAPAAAAAAAAAAAAAAAAAHsEAABkcnMvZG93bnJldi54&#10;bWxQSwUGAAAAAAQABADzAAAAhAUAAAAA&#10;"/>
              </w:pict>
            </w:r>
            <w:r w:rsidRPr="00A54F49">
              <w:rPr>
                <w:rFonts w:ascii="仿宋" w:eastAsia="仿宋" w:hAnsi="仿宋" w:cs="宋体" w:hint="eastAsia"/>
                <w:color w:val="000000"/>
                <w:kern w:val="0"/>
                <w:sz w:val="21"/>
                <w:szCs w:val="21"/>
              </w:rPr>
              <w:t>组别</w:t>
            </w:r>
          </w:p>
          <w:p w:rsidR="00A54F49" w:rsidRPr="00A54F49" w:rsidRDefault="00A54F49" w:rsidP="002724A6">
            <w:pPr>
              <w:spacing w:line="380" w:lineRule="exact"/>
              <w:jc w:val="left"/>
              <w:rPr>
                <w:rFonts w:ascii="仿宋" w:eastAsia="仿宋" w:hAnsi="仿宋" w:cs="宋体" w:hint="eastAsia"/>
                <w:sz w:val="21"/>
                <w:szCs w:val="21"/>
              </w:rPr>
            </w:pPr>
            <w:r w:rsidRPr="00A54F49">
              <w:rPr>
                <w:rFonts w:ascii="仿宋" w:eastAsia="仿宋" w:hAnsi="仿宋" w:cs="宋体" w:hint="eastAsia"/>
                <w:sz w:val="21"/>
                <w:szCs w:val="21"/>
              </w:rPr>
              <w:t>人数</w:t>
            </w:r>
          </w:p>
        </w:tc>
        <w:tc>
          <w:tcPr>
            <w:tcW w:w="1418" w:type="dxa"/>
            <w:gridSpan w:val="2"/>
            <w:tcBorders>
              <w:top w:val="single" w:sz="4" w:space="0" w:color="auto"/>
              <w:left w:val="nil"/>
              <w:bottom w:val="single" w:sz="4" w:space="0" w:color="auto"/>
              <w:right w:val="single" w:sz="4" w:space="0" w:color="000000"/>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C组</w:t>
            </w:r>
          </w:p>
        </w:tc>
        <w:tc>
          <w:tcPr>
            <w:tcW w:w="709" w:type="dxa"/>
            <w:tcBorders>
              <w:top w:val="single" w:sz="4" w:space="0" w:color="auto"/>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G组</w:t>
            </w:r>
          </w:p>
        </w:tc>
        <w:tc>
          <w:tcPr>
            <w:tcW w:w="850" w:type="dxa"/>
            <w:tcBorders>
              <w:top w:val="single" w:sz="4" w:space="0" w:color="auto"/>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B组</w:t>
            </w:r>
          </w:p>
        </w:tc>
        <w:tc>
          <w:tcPr>
            <w:tcW w:w="851" w:type="dxa"/>
            <w:tcBorders>
              <w:top w:val="single" w:sz="4" w:space="0" w:color="auto"/>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GB组</w:t>
            </w:r>
          </w:p>
        </w:tc>
        <w:tc>
          <w:tcPr>
            <w:tcW w:w="3685" w:type="dxa"/>
            <w:gridSpan w:val="3"/>
            <w:tcBorders>
              <w:top w:val="single" w:sz="4" w:space="0" w:color="auto"/>
              <w:left w:val="nil"/>
              <w:bottom w:val="single" w:sz="4" w:space="0" w:color="auto"/>
              <w:right w:val="single" w:sz="4" w:space="0" w:color="000000"/>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Y组</w:t>
            </w:r>
          </w:p>
        </w:tc>
      </w:tr>
      <w:tr w:rsidR="00A54F49" w:rsidRPr="00A54F49" w:rsidTr="002724A6">
        <w:trPr>
          <w:trHeight w:val="345"/>
        </w:trPr>
        <w:tc>
          <w:tcPr>
            <w:tcW w:w="1560" w:type="dxa"/>
            <w:vMerge/>
            <w:tcBorders>
              <w:top w:val="single" w:sz="4" w:space="0" w:color="auto"/>
              <w:left w:val="single" w:sz="4" w:space="0" w:color="auto"/>
              <w:bottom w:val="single" w:sz="4" w:space="0" w:color="000000"/>
              <w:right w:val="single" w:sz="4" w:space="0" w:color="auto"/>
            </w:tcBorders>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w:t>
            </w:r>
          </w:p>
        </w:tc>
        <w:tc>
          <w:tcPr>
            <w:tcW w:w="850"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TTBB</w:t>
            </w:r>
          </w:p>
        </w:tc>
        <w:tc>
          <w:tcPr>
            <w:tcW w:w="851"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SAB</w:t>
            </w:r>
          </w:p>
        </w:tc>
        <w:tc>
          <w:tcPr>
            <w:tcW w:w="1134"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2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YG（SSA）</w:t>
            </w:r>
          </w:p>
        </w:tc>
        <w:tc>
          <w:tcPr>
            <w:tcW w:w="1275"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2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YB（TTBB）</w:t>
            </w:r>
          </w:p>
        </w:tc>
        <w:tc>
          <w:tcPr>
            <w:tcW w:w="1276"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2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YM（SATB）</w:t>
            </w:r>
          </w:p>
        </w:tc>
      </w:tr>
      <w:tr w:rsidR="00A54F49" w:rsidRPr="00A54F49" w:rsidTr="002724A6">
        <w:trPr>
          <w:trHeight w:val="402"/>
        </w:trPr>
        <w:tc>
          <w:tcPr>
            <w:tcW w:w="1560" w:type="dxa"/>
            <w:tcBorders>
              <w:top w:val="nil"/>
              <w:left w:val="single" w:sz="4" w:space="0" w:color="auto"/>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1（31-60人）</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SA1</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SSA1</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SSA1</w:t>
            </w:r>
          </w:p>
        </w:tc>
        <w:tc>
          <w:tcPr>
            <w:tcW w:w="850"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TTBB1</w:t>
            </w:r>
          </w:p>
        </w:tc>
        <w:tc>
          <w:tcPr>
            <w:tcW w:w="851"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SAB1</w:t>
            </w:r>
          </w:p>
        </w:tc>
        <w:tc>
          <w:tcPr>
            <w:tcW w:w="1134"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SSA1</w:t>
            </w:r>
          </w:p>
        </w:tc>
        <w:tc>
          <w:tcPr>
            <w:tcW w:w="1275"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TTBB1</w:t>
            </w:r>
          </w:p>
        </w:tc>
        <w:tc>
          <w:tcPr>
            <w:tcW w:w="1276"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SATB1</w:t>
            </w:r>
          </w:p>
        </w:tc>
      </w:tr>
      <w:tr w:rsidR="00A54F49" w:rsidRPr="00A54F49" w:rsidTr="002724A6">
        <w:trPr>
          <w:trHeight w:val="402"/>
        </w:trPr>
        <w:tc>
          <w:tcPr>
            <w:tcW w:w="1560" w:type="dxa"/>
            <w:tcBorders>
              <w:top w:val="nil"/>
              <w:left w:val="single" w:sz="4" w:space="0" w:color="auto"/>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2（15-30人）</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SA2</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SSA2</w:t>
            </w:r>
          </w:p>
        </w:tc>
        <w:tc>
          <w:tcPr>
            <w:tcW w:w="709"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SSA2</w:t>
            </w:r>
          </w:p>
        </w:tc>
        <w:tc>
          <w:tcPr>
            <w:tcW w:w="850"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TTBB2</w:t>
            </w:r>
          </w:p>
        </w:tc>
        <w:tc>
          <w:tcPr>
            <w:tcW w:w="851"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SAB2</w:t>
            </w:r>
          </w:p>
        </w:tc>
        <w:tc>
          <w:tcPr>
            <w:tcW w:w="1134"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SSA2</w:t>
            </w:r>
          </w:p>
        </w:tc>
        <w:tc>
          <w:tcPr>
            <w:tcW w:w="1275"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TTBB2</w:t>
            </w:r>
          </w:p>
        </w:tc>
        <w:tc>
          <w:tcPr>
            <w:tcW w:w="1276" w:type="dxa"/>
            <w:tcBorders>
              <w:top w:val="nil"/>
              <w:left w:val="nil"/>
              <w:bottom w:val="single" w:sz="4" w:space="0" w:color="auto"/>
              <w:right w:val="single" w:sz="4" w:space="0" w:color="auto"/>
            </w:tcBorders>
            <w:noWrap/>
            <w:vAlign w:val="center"/>
          </w:tcPr>
          <w:p w:rsidR="00A54F49" w:rsidRPr="00A54F49" w:rsidRDefault="00A54F49" w:rsidP="002724A6">
            <w:pPr>
              <w:widowControl/>
              <w:spacing w:line="380" w:lineRule="exact"/>
              <w:jc w:val="center"/>
              <w:rPr>
                <w:rFonts w:ascii="仿宋" w:eastAsia="仿宋" w:hAnsi="仿宋" w:cs="宋体" w:hint="eastAsia"/>
                <w:color w:val="000000"/>
                <w:kern w:val="0"/>
                <w:sz w:val="21"/>
                <w:szCs w:val="21"/>
              </w:rPr>
            </w:pPr>
            <w:r w:rsidRPr="00A54F49">
              <w:rPr>
                <w:rFonts w:ascii="仿宋" w:eastAsia="仿宋" w:hAnsi="仿宋" w:cs="宋体" w:hint="eastAsia"/>
                <w:color w:val="000000"/>
                <w:kern w:val="0"/>
                <w:sz w:val="21"/>
                <w:szCs w:val="21"/>
              </w:rPr>
              <w:t>SATB2</w:t>
            </w:r>
          </w:p>
        </w:tc>
      </w:tr>
    </w:tbl>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szCs w:val="32"/>
        </w:rPr>
        <w:lastRenderedPageBreak/>
        <w:t>2.班级合唱队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1）年级不限，须为普通教学班，人数以自然现状为准。</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2）演唱两首曲目，时间不超过8分钟,其中一首须为中国作品，可加入朗诵。</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3）伴奏统一为钢琴</w:t>
      </w:r>
      <w:r w:rsidRPr="00A54F49">
        <w:rPr>
          <w:rFonts w:ascii="仿宋" w:eastAsia="仿宋" w:hAnsi="仿宋" w:hint="eastAsia"/>
          <w:szCs w:val="32"/>
        </w:rPr>
        <w:t>，可加特色乐器，伴奏人数不超过3人</w:t>
      </w:r>
      <w:r w:rsidRPr="00A54F49">
        <w:rPr>
          <w:rFonts w:ascii="仿宋" w:eastAsia="仿宋" w:hAnsi="仿宋"/>
          <w:szCs w:val="32"/>
        </w:rPr>
        <w:t>。指挥和伴奏需为本校指导教师或本班学生。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4）学生需统一着装。</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（二）冬奥歌曲征集</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冬奥歌曲征集活动实施细则将根据活动进程另行通知。</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（三）戏剧市级展演</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szCs w:val="32"/>
        </w:rPr>
        <w:t>1.展演包括话剧、音乐剧(歌舞剧)、戏曲、朗诵。</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1）话剧：原创、复排名著经典片段或改编寓言、童话故事等，人数不超过8人，时间不超过12分钟。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2）音乐剧（歌舞剧）：原创、复排名著经典片段或改编寓言、童话故事，人数不超过12人，时间不超过12分钟。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3）戏曲（限京剧）：人数为2至20人，时间不超过10分钟。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w:t>
      </w:r>
      <w:r w:rsidRPr="00A54F49">
        <w:rPr>
          <w:rFonts w:ascii="仿宋" w:eastAsia="仿宋" w:hAnsi="仿宋"/>
          <w:szCs w:val="32"/>
        </w:rPr>
        <w:t>4）朗诵：作品文体不限，须使用普通话，人数为4至16人（含伴奏，不得伴舞</w:t>
      </w:r>
      <w:r w:rsidRPr="00A54F49">
        <w:rPr>
          <w:rFonts w:ascii="仿宋" w:eastAsia="仿宋" w:hAnsi="仿宋" w:hint="eastAsia"/>
          <w:szCs w:val="32"/>
        </w:rPr>
        <w:t>，学生不得作为表演道具</w:t>
      </w:r>
      <w:r w:rsidRPr="00A54F49">
        <w:rPr>
          <w:rFonts w:ascii="仿宋" w:eastAsia="仿宋" w:hAnsi="仿宋"/>
          <w:szCs w:val="32"/>
        </w:rPr>
        <w:t>），时间不超过5分钟。</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szCs w:val="32"/>
        </w:rPr>
        <w:t>2.活动分组：分为小学组、中学组、九年一贯制组、十二年一贯制组、集团化组、中等职业学校组。</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lastRenderedPageBreak/>
        <w:t>（四）优秀节目展示</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szCs w:val="32"/>
        </w:rPr>
        <w:t>1、合唱优秀节目展示</w:t>
      </w:r>
      <w:r w:rsidRPr="00A54F49">
        <w:rPr>
          <w:rFonts w:ascii="仿宋" w:eastAsia="仿宋" w:hAnsi="仿宋" w:cs="宋体" w:hint="eastAsia"/>
          <w:color w:val="000000"/>
          <w:kern w:val="0"/>
          <w:szCs w:val="32"/>
        </w:rPr>
        <w:t>具体实施细则另行通知。</w:t>
      </w:r>
    </w:p>
    <w:p w:rsidR="00A54F49" w:rsidRPr="00A54F49" w:rsidRDefault="00A54F49" w:rsidP="00A54F49">
      <w:pPr>
        <w:spacing w:line="560" w:lineRule="exact"/>
        <w:ind w:firstLine="555"/>
        <w:rPr>
          <w:rFonts w:ascii="仿宋" w:eastAsia="仿宋" w:hAnsi="仿宋" w:cs="宋体"/>
          <w:color w:val="000000"/>
          <w:kern w:val="0"/>
          <w:szCs w:val="32"/>
        </w:rPr>
      </w:pPr>
      <w:r w:rsidRPr="00A54F49">
        <w:rPr>
          <w:rFonts w:ascii="仿宋" w:eastAsia="仿宋" w:hAnsi="仿宋"/>
          <w:szCs w:val="32"/>
        </w:rPr>
        <w:t>2、戏剧优秀节目展示</w:t>
      </w:r>
      <w:r w:rsidRPr="00A54F49">
        <w:rPr>
          <w:rFonts w:ascii="仿宋" w:eastAsia="仿宋" w:hAnsi="仿宋" w:cs="宋体" w:hint="eastAsia"/>
          <w:color w:val="000000"/>
          <w:kern w:val="0"/>
          <w:szCs w:val="32"/>
        </w:rPr>
        <w:t>类别限话剧、音乐剧（歌舞剧）、戏曲（京剧），</w:t>
      </w:r>
      <w:r w:rsidRPr="00A54F49">
        <w:rPr>
          <w:rFonts w:ascii="仿宋" w:eastAsia="仿宋" w:hAnsi="仿宋" w:cs="宋体" w:hint="eastAsia"/>
          <w:kern w:val="0"/>
          <w:szCs w:val="32"/>
        </w:rPr>
        <w:t>人数不限。</w:t>
      </w:r>
      <w:r w:rsidRPr="00A54F49">
        <w:rPr>
          <w:rFonts w:ascii="仿宋" w:eastAsia="仿宋" w:hAnsi="仿宋" w:cs="宋体" w:hint="eastAsia"/>
          <w:color w:val="000000"/>
          <w:kern w:val="0"/>
          <w:szCs w:val="32"/>
        </w:rPr>
        <w:t>具体实施细则另行通知。</w:t>
      </w:r>
    </w:p>
    <w:p w:rsidR="00A54F49" w:rsidRPr="00A54F49" w:rsidRDefault="00A54F49" w:rsidP="00A54F49">
      <w:pPr>
        <w:spacing w:line="560" w:lineRule="exact"/>
        <w:ind w:firstLine="555"/>
        <w:rPr>
          <w:rFonts w:ascii="仿宋" w:eastAsia="仿宋" w:hAnsi="仿宋"/>
          <w:szCs w:val="32"/>
        </w:rPr>
      </w:pPr>
      <w:r w:rsidRPr="00A54F49">
        <w:rPr>
          <w:rFonts w:ascii="仿宋" w:eastAsia="仿宋" w:hAnsi="仿宋" w:hint="eastAsia"/>
          <w:szCs w:val="32"/>
        </w:rPr>
        <w:t>五、上报市级展演节目数量</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708"/>
        <w:gridCol w:w="709"/>
        <w:gridCol w:w="709"/>
        <w:gridCol w:w="709"/>
        <w:gridCol w:w="1559"/>
        <w:gridCol w:w="709"/>
        <w:gridCol w:w="708"/>
        <w:gridCol w:w="709"/>
        <w:gridCol w:w="709"/>
      </w:tblGrid>
      <w:tr w:rsidR="00A54F49" w:rsidRPr="00A54F49" w:rsidTr="002724A6">
        <w:trPr>
          <w:trHeight w:val="285"/>
        </w:trPr>
        <w:tc>
          <w:tcPr>
            <w:tcW w:w="1560" w:type="dxa"/>
            <w:vMerge w:val="restart"/>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区</w:t>
            </w:r>
          </w:p>
        </w:tc>
        <w:tc>
          <w:tcPr>
            <w:tcW w:w="1417" w:type="dxa"/>
            <w:gridSpan w:val="2"/>
            <w:noWrap/>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合唱</w:t>
            </w:r>
          </w:p>
        </w:tc>
        <w:tc>
          <w:tcPr>
            <w:tcW w:w="1418" w:type="dxa"/>
            <w:gridSpan w:val="2"/>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戏剧</w:t>
            </w:r>
          </w:p>
        </w:tc>
        <w:tc>
          <w:tcPr>
            <w:tcW w:w="1559" w:type="dxa"/>
            <w:vMerge w:val="restart"/>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区</w:t>
            </w:r>
          </w:p>
        </w:tc>
        <w:tc>
          <w:tcPr>
            <w:tcW w:w="1417" w:type="dxa"/>
            <w:gridSpan w:val="2"/>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合唱</w:t>
            </w:r>
          </w:p>
        </w:tc>
        <w:tc>
          <w:tcPr>
            <w:tcW w:w="1418" w:type="dxa"/>
            <w:gridSpan w:val="2"/>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戏剧</w:t>
            </w:r>
          </w:p>
        </w:tc>
      </w:tr>
      <w:tr w:rsidR="00A54F49" w:rsidRPr="00A54F49" w:rsidTr="002724A6">
        <w:trPr>
          <w:trHeight w:val="285"/>
        </w:trPr>
        <w:tc>
          <w:tcPr>
            <w:tcW w:w="1560" w:type="dxa"/>
            <w:vMerge/>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p>
        </w:tc>
        <w:tc>
          <w:tcPr>
            <w:tcW w:w="708" w:type="dxa"/>
            <w:noWrap/>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普通</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金帆</w:t>
            </w:r>
          </w:p>
        </w:tc>
        <w:tc>
          <w:tcPr>
            <w:tcW w:w="709" w:type="dxa"/>
            <w:noWrap/>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普通</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金帆</w:t>
            </w:r>
          </w:p>
        </w:tc>
        <w:tc>
          <w:tcPr>
            <w:tcW w:w="1559" w:type="dxa"/>
            <w:vMerge/>
            <w:vAlign w:val="center"/>
          </w:tcPr>
          <w:p w:rsidR="00A54F49" w:rsidRPr="00A54F49" w:rsidRDefault="00A54F49" w:rsidP="002724A6">
            <w:pPr>
              <w:widowControl/>
              <w:spacing w:line="560" w:lineRule="exact"/>
              <w:jc w:val="center"/>
              <w:rPr>
                <w:rFonts w:ascii="仿宋" w:eastAsia="仿宋" w:hAnsi="仿宋" w:hint="eastAsia"/>
                <w:color w:val="000000"/>
                <w:szCs w:val="32"/>
              </w:rPr>
            </w:pP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普通</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金帆</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普通</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金帆</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朝阳区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17</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17</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1</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顺义区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海淀区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24</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6</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24</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6</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proofErr w:type="gramStart"/>
            <w:r w:rsidRPr="00A54F49">
              <w:rPr>
                <w:rFonts w:ascii="仿宋" w:eastAsia="仿宋" w:hAnsi="仿宋" w:hint="eastAsia"/>
                <w:color w:val="000000"/>
                <w:szCs w:val="32"/>
              </w:rPr>
              <w:t>平谷区</w:t>
            </w:r>
            <w:proofErr w:type="gramEnd"/>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proofErr w:type="gramStart"/>
            <w:r w:rsidRPr="00A54F49">
              <w:rPr>
                <w:rFonts w:ascii="仿宋" w:eastAsia="仿宋" w:hAnsi="仿宋" w:hint="eastAsia"/>
                <w:color w:val="000000"/>
                <w:szCs w:val="32"/>
              </w:rPr>
              <w:t>昌平区</w:t>
            </w:r>
            <w:proofErr w:type="gramEnd"/>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密云区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房山区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1</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7</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石景山区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3</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proofErr w:type="gramStart"/>
            <w:r w:rsidRPr="00A54F49">
              <w:rPr>
                <w:rFonts w:ascii="仿宋" w:eastAsia="仿宋" w:hAnsi="仿宋" w:hint="eastAsia"/>
                <w:color w:val="000000"/>
                <w:szCs w:val="32"/>
              </w:rPr>
              <w:t>大兴区</w:t>
            </w:r>
            <w:proofErr w:type="gramEnd"/>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延庆区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丰台区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怀柔区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通州区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8</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c>
          <w:tcPr>
            <w:tcW w:w="1559" w:type="dxa"/>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门头沟区</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1</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东城区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9</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6</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9</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5</w:t>
            </w:r>
          </w:p>
        </w:tc>
        <w:tc>
          <w:tcPr>
            <w:tcW w:w="1559" w:type="dxa"/>
            <w:vAlign w:val="center"/>
          </w:tcPr>
          <w:p w:rsidR="00A54F49" w:rsidRPr="00A54F49" w:rsidRDefault="00A54F49" w:rsidP="002724A6">
            <w:pPr>
              <w:widowControl/>
              <w:spacing w:line="560" w:lineRule="exact"/>
              <w:jc w:val="left"/>
              <w:rPr>
                <w:rFonts w:ascii="仿宋" w:eastAsia="仿宋" w:hAnsi="仿宋" w:hint="eastAsia"/>
                <w:szCs w:val="32"/>
              </w:rPr>
            </w:pPr>
            <w:r w:rsidRPr="00A54F49">
              <w:rPr>
                <w:rFonts w:ascii="仿宋" w:eastAsia="仿宋" w:hAnsi="仿宋" w:hint="eastAsia"/>
                <w:szCs w:val="32"/>
              </w:rPr>
              <w:t>燕山</w:t>
            </w:r>
          </w:p>
        </w:tc>
        <w:tc>
          <w:tcPr>
            <w:tcW w:w="709" w:type="dxa"/>
            <w:vAlign w:val="center"/>
          </w:tcPr>
          <w:p w:rsidR="00A54F49" w:rsidRPr="00A54F49" w:rsidRDefault="00A54F49" w:rsidP="002724A6">
            <w:pPr>
              <w:widowControl/>
              <w:spacing w:line="560" w:lineRule="exact"/>
              <w:jc w:val="center"/>
              <w:rPr>
                <w:rFonts w:ascii="仿宋" w:eastAsia="仿宋" w:hAnsi="仿宋" w:hint="eastAsia"/>
                <w:szCs w:val="32"/>
              </w:rPr>
            </w:pPr>
            <w:r w:rsidRPr="00A54F49">
              <w:rPr>
                <w:rFonts w:ascii="仿宋" w:eastAsia="仿宋" w:hAnsi="仿宋" w:hint="eastAsia"/>
                <w:szCs w:val="32"/>
              </w:rPr>
              <w:t>1</w:t>
            </w:r>
          </w:p>
        </w:tc>
        <w:tc>
          <w:tcPr>
            <w:tcW w:w="708" w:type="dxa"/>
            <w:vAlign w:val="center"/>
          </w:tcPr>
          <w:p w:rsidR="00A54F49" w:rsidRPr="00A54F49" w:rsidRDefault="00A54F49" w:rsidP="002724A6">
            <w:pPr>
              <w:widowControl/>
              <w:spacing w:line="560" w:lineRule="exact"/>
              <w:ind w:right="-108"/>
              <w:jc w:val="center"/>
              <w:rPr>
                <w:rFonts w:ascii="仿宋" w:eastAsia="仿宋" w:hAnsi="仿宋" w:hint="eastAsia"/>
                <w:szCs w:val="32"/>
              </w:rPr>
            </w:pPr>
            <w:r w:rsidRPr="00A54F49">
              <w:rPr>
                <w:rFonts w:ascii="仿宋" w:eastAsia="仿宋" w:hAnsi="仿宋" w:hint="eastAsia"/>
                <w:szCs w:val="32"/>
              </w:rPr>
              <w:t>0</w:t>
            </w:r>
          </w:p>
        </w:tc>
        <w:tc>
          <w:tcPr>
            <w:tcW w:w="709" w:type="dxa"/>
            <w:vAlign w:val="center"/>
          </w:tcPr>
          <w:p w:rsidR="00A54F49" w:rsidRPr="00A54F49" w:rsidRDefault="00A54F49" w:rsidP="002724A6">
            <w:pPr>
              <w:widowControl/>
              <w:spacing w:line="560" w:lineRule="exact"/>
              <w:jc w:val="center"/>
              <w:rPr>
                <w:rFonts w:ascii="仿宋" w:eastAsia="仿宋" w:hAnsi="仿宋" w:hint="eastAsia"/>
                <w:szCs w:val="32"/>
              </w:rPr>
            </w:pPr>
            <w:r w:rsidRPr="00A54F49">
              <w:rPr>
                <w:rFonts w:ascii="仿宋" w:eastAsia="仿宋" w:hAnsi="仿宋" w:hint="eastAsia"/>
                <w:szCs w:val="32"/>
              </w:rPr>
              <w:t>1</w:t>
            </w:r>
          </w:p>
        </w:tc>
        <w:tc>
          <w:tcPr>
            <w:tcW w:w="709" w:type="dxa"/>
            <w:vAlign w:val="center"/>
          </w:tcPr>
          <w:p w:rsidR="00A54F49" w:rsidRPr="00A54F49" w:rsidRDefault="00A54F49" w:rsidP="002724A6">
            <w:pPr>
              <w:widowControl/>
              <w:spacing w:line="560" w:lineRule="exact"/>
              <w:jc w:val="center"/>
              <w:rPr>
                <w:rFonts w:ascii="仿宋" w:eastAsia="仿宋" w:hAnsi="仿宋" w:hint="eastAsia"/>
                <w:szCs w:val="32"/>
              </w:rPr>
            </w:pPr>
            <w:r w:rsidRPr="00A54F49">
              <w:rPr>
                <w:rFonts w:ascii="仿宋" w:eastAsia="仿宋" w:hAnsi="仿宋" w:hint="eastAsia"/>
                <w:szCs w:val="32"/>
              </w:rPr>
              <w:t>0</w:t>
            </w:r>
          </w:p>
        </w:tc>
      </w:tr>
      <w:tr w:rsidR="00A54F49" w:rsidRPr="00A54F49" w:rsidTr="002724A6">
        <w:trPr>
          <w:trHeight w:val="285"/>
        </w:trPr>
        <w:tc>
          <w:tcPr>
            <w:tcW w:w="1560" w:type="dxa"/>
            <w:noWrap/>
            <w:vAlign w:val="center"/>
          </w:tcPr>
          <w:p w:rsidR="00A54F49" w:rsidRPr="00A54F49" w:rsidRDefault="00A54F49" w:rsidP="002724A6">
            <w:pPr>
              <w:widowControl/>
              <w:spacing w:line="560" w:lineRule="exact"/>
              <w:jc w:val="left"/>
              <w:rPr>
                <w:rFonts w:ascii="仿宋" w:eastAsia="仿宋" w:hAnsi="仿宋" w:hint="eastAsia"/>
                <w:color w:val="000000"/>
                <w:szCs w:val="32"/>
              </w:rPr>
            </w:pPr>
            <w:r w:rsidRPr="00A54F49">
              <w:rPr>
                <w:rFonts w:ascii="仿宋" w:eastAsia="仿宋" w:hAnsi="仿宋" w:hint="eastAsia"/>
                <w:color w:val="000000"/>
                <w:szCs w:val="32"/>
              </w:rPr>
              <w:t>西城区</w:t>
            </w:r>
          </w:p>
        </w:tc>
        <w:tc>
          <w:tcPr>
            <w:tcW w:w="708"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12</w:t>
            </w:r>
          </w:p>
        </w:tc>
        <w:tc>
          <w:tcPr>
            <w:tcW w:w="709" w:type="dxa"/>
            <w:vAlign w:val="center"/>
          </w:tcPr>
          <w:p w:rsidR="00A54F49" w:rsidRPr="00A54F49" w:rsidRDefault="00A54F49" w:rsidP="002724A6">
            <w:pPr>
              <w:widowControl/>
              <w:spacing w:line="560" w:lineRule="exact"/>
              <w:ind w:right="-108"/>
              <w:jc w:val="center"/>
              <w:rPr>
                <w:rFonts w:ascii="仿宋" w:eastAsia="仿宋" w:hAnsi="仿宋" w:hint="eastAsia"/>
                <w:color w:val="000000"/>
                <w:szCs w:val="32"/>
              </w:rPr>
            </w:pPr>
            <w:r w:rsidRPr="00A54F49">
              <w:rPr>
                <w:rFonts w:ascii="仿宋" w:eastAsia="仿宋" w:hAnsi="仿宋" w:hint="eastAsia"/>
                <w:color w:val="000000"/>
                <w:szCs w:val="32"/>
              </w:rPr>
              <w:t>6</w:t>
            </w:r>
          </w:p>
        </w:tc>
        <w:tc>
          <w:tcPr>
            <w:tcW w:w="709" w:type="dxa"/>
            <w:noWrap/>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12</w:t>
            </w:r>
          </w:p>
        </w:tc>
        <w:tc>
          <w:tcPr>
            <w:tcW w:w="709" w:type="dxa"/>
            <w:vAlign w:val="center"/>
          </w:tcPr>
          <w:p w:rsidR="00A54F49" w:rsidRPr="00A54F49" w:rsidRDefault="00A54F49" w:rsidP="002724A6">
            <w:pPr>
              <w:widowControl/>
              <w:spacing w:line="560" w:lineRule="exact"/>
              <w:jc w:val="center"/>
              <w:rPr>
                <w:rFonts w:ascii="仿宋" w:eastAsia="仿宋" w:hAnsi="仿宋" w:hint="eastAsia"/>
                <w:color w:val="000000"/>
                <w:szCs w:val="32"/>
              </w:rPr>
            </w:pPr>
            <w:r w:rsidRPr="00A54F49">
              <w:rPr>
                <w:rFonts w:ascii="仿宋" w:eastAsia="仿宋" w:hAnsi="仿宋" w:hint="eastAsia"/>
                <w:color w:val="000000"/>
                <w:szCs w:val="32"/>
              </w:rPr>
              <w:t>2</w:t>
            </w:r>
          </w:p>
        </w:tc>
        <w:tc>
          <w:tcPr>
            <w:tcW w:w="4394" w:type="dxa"/>
            <w:gridSpan w:val="5"/>
            <w:vAlign w:val="center"/>
          </w:tcPr>
          <w:p w:rsidR="00A54F49" w:rsidRPr="00A54F49" w:rsidRDefault="00A54F49" w:rsidP="002724A6">
            <w:pPr>
              <w:widowControl/>
              <w:spacing w:line="560" w:lineRule="exact"/>
              <w:jc w:val="left"/>
              <w:rPr>
                <w:rFonts w:ascii="仿宋" w:eastAsia="仿宋" w:hAnsi="仿宋" w:hint="eastAsia"/>
                <w:color w:val="000000"/>
                <w:szCs w:val="32"/>
              </w:rPr>
            </w:pPr>
          </w:p>
        </w:tc>
      </w:tr>
    </w:tbl>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备注：</w:t>
      </w:r>
    </w:p>
    <w:p w:rsidR="00A54F49" w:rsidRPr="00A54F49" w:rsidRDefault="00A54F49" w:rsidP="00A54F49">
      <w:pPr>
        <w:spacing w:line="560" w:lineRule="exact"/>
        <w:ind w:firstLineChars="200" w:firstLine="560"/>
        <w:rPr>
          <w:rFonts w:ascii="仿宋" w:eastAsia="仿宋" w:hAnsi="仿宋"/>
          <w:sz w:val="28"/>
          <w:szCs w:val="28"/>
        </w:rPr>
      </w:pPr>
      <w:r w:rsidRPr="00A54F49">
        <w:rPr>
          <w:rFonts w:ascii="仿宋" w:eastAsia="仿宋" w:hAnsi="仿宋"/>
          <w:sz w:val="28"/>
          <w:szCs w:val="28"/>
        </w:rPr>
        <w:t>1.各区须上报1个班级合唱队节目，且不占参加市级展演节目数量。</w:t>
      </w:r>
    </w:p>
    <w:p w:rsidR="00A54F49" w:rsidRPr="00A54F49" w:rsidRDefault="00A54F49" w:rsidP="00A54F49">
      <w:pPr>
        <w:spacing w:line="560" w:lineRule="exact"/>
        <w:ind w:firstLineChars="200" w:firstLine="560"/>
        <w:rPr>
          <w:rFonts w:ascii="仿宋" w:eastAsia="仿宋" w:hAnsi="仿宋"/>
          <w:color w:val="000000"/>
          <w:sz w:val="28"/>
          <w:szCs w:val="28"/>
        </w:rPr>
      </w:pPr>
      <w:r w:rsidRPr="00A54F49">
        <w:rPr>
          <w:rFonts w:ascii="仿宋" w:eastAsia="仿宋" w:hAnsi="仿宋"/>
          <w:sz w:val="28"/>
          <w:szCs w:val="28"/>
        </w:rPr>
        <w:t>2.</w:t>
      </w:r>
      <w:proofErr w:type="gramStart"/>
      <w:r w:rsidRPr="00A54F49">
        <w:rPr>
          <w:rFonts w:ascii="仿宋" w:eastAsia="仿宋" w:hAnsi="仿宋" w:hint="eastAsia"/>
          <w:color w:val="000000"/>
          <w:sz w:val="28"/>
          <w:szCs w:val="28"/>
        </w:rPr>
        <w:t>金帆团承办</w:t>
      </w:r>
      <w:proofErr w:type="gramEnd"/>
      <w:r w:rsidRPr="00A54F49">
        <w:rPr>
          <w:rFonts w:ascii="仿宋" w:eastAsia="仿宋" w:hAnsi="仿宋"/>
          <w:color w:val="000000"/>
          <w:sz w:val="28"/>
          <w:szCs w:val="28"/>
        </w:rPr>
        <w:t>项目非正式团员可参加普通组展演。</w:t>
      </w:r>
    </w:p>
    <w:p w:rsidR="00A54F49" w:rsidRPr="00A54F49" w:rsidRDefault="00A54F49" w:rsidP="00A54F49">
      <w:pPr>
        <w:spacing w:line="560" w:lineRule="exact"/>
        <w:ind w:firstLineChars="200" w:firstLine="560"/>
        <w:rPr>
          <w:rFonts w:ascii="仿宋" w:eastAsia="仿宋" w:hAnsi="仿宋"/>
          <w:sz w:val="28"/>
          <w:szCs w:val="28"/>
        </w:rPr>
      </w:pPr>
      <w:r w:rsidRPr="00A54F49">
        <w:rPr>
          <w:rFonts w:ascii="仿宋" w:eastAsia="仿宋" w:hAnsi="仿宋"/>
          <w:sz w:val="28"/>
          <w:szCs w:val="28"/>
        </w:rPr>
        <w:t>3.除</w:t>
      </w:r>
      <w:proofErr w:type="gramStart"/>
      <w:r w:rsidRPr="00A54F49">
        <w:rPr>
          <w:rFonts w:ascii="仿宋" w:eastAsia="仿宋" w:hAnsi="仿宋" w:hint="eastAsia"/>
          <w:sz w:val="28"/>
          <w:szCs w:val="28"/>
        </w:rPr>
        <w:t>金帆团承办</w:t>
      </w:r>
      <w:proofErr w:type="gramEnd"/>
      <w:r w:rsidRPr="00A54F49">
        <w:rPr>
          <w:rFonts w:ascii="仿宋" w:eastAsia="仿宋" w:hAnsi="仿宋" w:hint="eastAsia"/>
          <w:sz w:val="28"/>
          <w:szCs w:val="28"/>
        </w:rPr>
        <w:t>项目外，连续参加过两届同一项目且获市级展演金奖的项目将不再推荐其参加当年艺术节市级展演。</w:t>
      </w:r>
    </w:p>
    <w:p w:rsidR="00A54F49" w:rsidRPr="00A54F49" w:rsidRDefault="00A54F49" w:rsidP="00A54F49">
      <w:pPr>
        <w:spacing w:line="560" w:lineRule="exact"/>
        <w:ind w:firstLineChars="200" w:firstLine="560"/>
        <w:rPr>
          <w:rFonts w:ascii="仿宋" w:eastAsia="仿宋" w:hAnsi="仿宋"/>
          <w:color w:val="000000"/>
          <w:sz w:val="28"/>
          <w:szCs w:val="28"/>
        </w:rPr>
      </w:pPr>
      <w:r w:rsidRPr="00A54F49">
        <w:rPr>
          <w:rFonts w:ascii="仿宋" w:eastAsia="仿宋" w:hAnsi="仿宋"/>
          <w:color w:val="000000"/>
          <w:sz w:val="28"/>
          <w:szCs w:val="28"/>
        </w:rPr>
        <w:lastRenderedPageBreak/>
        <w:t>4.中等职业学校合唱、戏剧展演节目一共不超过3个。</w:t>
      </w:r>
    </w:p>
    <w:p w:rsidR="00A54F49" w:rsidRPr="00A54F49" w:rsidRDefault="00A54F49" w:rsidP="00A54F49">
      <w:pPr>
        <w:spacing w:line="560" w:lineRule="exact"/>
        <w:ind w:firstLineChars="200" w:firstLine="640"/>
        <w:rPr>
          <w:rFonts w:ascii="仿宋" w:eastAsia="仿宋" w:hAnsi="仿宋"/>
          <w:szCs w:val="32"/>
        </w:rPr>
      </w:pPr>
      <w:r w:rsidRPr="00A54F49">
        <w:rPr>
          <w:rFonts w:ascii="仿宋" w:eastAsia="仿宋" w:hAnsi="仿宋" w:hint="eastAsia"/>
          <w:szCs w:val="32"/>
        </w:rPr>
        <w:t>六、奖项设置和评选办法</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hint="eastAsia"/>
          <w:kern w:val="2"/>
          <w:sz w:val="32"/>
          <w:szCs w:val="32"/>
        </w:rPr>
        <w:t>（一）参与市区级展演的学生名单需在校内公示并存档。</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hint="eastAsia"/>
          <w:kern w:val="2"/>
          <w:sz w:val="32"/>
          <w:szCs w:val="32"/>
        </w:rPr>
        <w:t>（二）个人、集体项目区级展演根据节目要求，由各区自行评定相关奖项并颁发获奖证书。</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hint="eastAsia"/>
          <w:kern w:val="2"/>
          <w:sz w:val="32"/>
          <w:szCs w:val="32"/>
        </w:rPr>
        <w:t>（三）合唱、戏剧市级展演将依据专家评分确定金奖</w:t>
      </w:r>
      <w:r w:rsidRPr="00A54F49">
        <w:rPr>
          <w:rFonts w:ascii="仿宋" w:eastAsia="仿宋" w:hAnsi="仿宋" w:cs="Times New Roman" w:hint="eastAsia"/>
          <w:w w:val="90"/>
          <w:kern w:val="2"/>
          <w:sz w:val="32"/>
          <w:szCs w:val="32"/>
        </w:rPr>
        <w:t>（</w:t>
      </w:r>
      <w:r w:rsidRPr="00A54F49">
        <w:rPr>
          <w:rFonts w:ascii="仿宋" w:eastAsia="仿宋" w:hAnsi="仿宋" w:cs="Times New Roman"/>
          <w:w w:val="90"/>
          <w:kern w:val="2"/>
          <w:sz w:val="32"/>
          <w:szCs w:val="32"/>
        </w:rPr>
        <w:t>90.00及以上）</w:t>
      </w:r>
      <w:r w:rsidRPr="00A54F49">
        <w:rPr>
          <w:rFonts w:ascii="仿宋" w:eastAsia="仿宋" w:hAnsi="仿宋" w:cs="Times New Roman" w:hint="eastAsia"/>
          <w:kern w:val="2"/>
          <w:sz w:val="32"/>
          <w:szCs w:val="32"/>
        </w:rPr>
        <w:t>、银奖（</w:t>
      </w:r>
      <w:r w:rsidRPr="00A54F49">
        <w:rPr>
          <w:rFonts w:ascii="仿宋" w:eastAsia="仿宋" w:hAnsi="仿宋" w:cs="Times New Roman"/>
          <w:kern w:val="2"/>
          <w:sz w:val="32"/>
          <w:szCs w:val="32"/>
        </w:rPr>
        <w:t>80.00—89.99分）和铜奖（70.00—79.99分），并按参演人数颁发获奖证书。市级展演</w:t>
      </w:r>
      <w:r w:rsidRPr="00A54F49">
        <w:rPr>
          <w:rFonts w:ascii="仿宋" w:eastAsia="仿宋" w:hAnsi="仿宋" w:cs="Times New Roman" w:hint="eastAsia"/>
          <w:kern w:val="2"/>
          <w:sz w:val="32"/>
          <w:szCs w:val="32"/>
        </w:rPr>
        <w:t>评定</w:t>
      </w:r>
      <w:r w:rsidRPr="00A54F49">
        <w:rPr>
          <w:rFonts w:ascii="仿宋" w:eastAsia="仿宋" w:hAnsi="仿宋" w:cs="Times New Roman"/>
          <w:kern w:val="2"/>
          <w:sz w:val="32"/>
          <w:szCs w:val="32"/>
        </w:rPr>
        <w:t>指导教师奖，颁发给获奖节目的指导教师</w:t>
      </w:r>
      <w:r w:rsidRPr="00A54F49">
        <w:rPr>
          <w:rFonts w:ascii="仿宋" w:eastAsia="仿宋" w:hAnsi="仿宋" w:cs="Times New Roman" w:hint="eastAsia"/>
          <w:kern w:val="2"/>
          <w:sz w:val="32"/>
          <w:szCs w:val="32"/>
        </w:rPr>
        <w:t>，每个节目不超过3名</w:t>
      </w:r>
      <w:r w:rsidRPr="00A54F49">
        <w:rPr>
          <w:rFonts w:ascii="仿宋" w:eastAsia="仿宋" w:hAnsi="仿宋" w:cs="Times New Roman"/>
          <w:kern w:val="2"/>
          <w:sz w:val="32"/>
          <w:szCs w:val="32"/>
        </w:rPr>
        <w:t>。合唱市级展演将评定最佳指挥奖（</w:t>
      </w:r>
      <w:r w:rsidRPr="00A54F49">
        <w:rPr>
          <w:rFonts w:ascii="仿宋" w:eastAsia="仿宋" w:hAnsi="仿宋" w:cs="Times New Roman" w:hint="eastAsia"/>
          <w:kern w:val="2"/>
          <w:sz w:val="32"/>
          <w:szCs w:val="32"/>
        </w:rPr>
        <w:t>指挥得分</w:t>
      </w:r>
      <w:r w:rsidRPr="00A54F49">
        <w:rPr>
          <w:rFonts w:ascii="仿宋" w:eastAsia="仿宋" w:hAnsi="仿宋" w:cs="Times New Roman"/>
          <w:kern w:val="2"/>
          <w:sz w:val="32"/>
          <w:szCs w:val="32"/>
        </w:rPr>
        <w:t>90.00及以上）。</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hint="eastAsia"/>
          <w:kern w:val="2"/>
          <w:sz w:val="32"/>
          <w:szCs w:val="32"/>
        </w:rPr>
        <w:t>（四）各区教委组织工作有序，按时提交以下材料，由市艺术节办公室颁发优秀组织奖。</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kern w:val="2"/>
          <w:sz w:val="32"/>
          <w:szCs w:val="32"/>
        </w:rPr>
        <w:t>1.全年活动实施方案</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kern w:val="2"/>
          <w:sz w:val="32"/>
          <w:szCs w:val="32"/>
        </w:rPr>
        <w:t>2.全年活动总结（须含特色与创新、意见与建议，原则上不超过1000字）</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cs="Times New Roman"/>
          <w:kern w:val="2"/>
          <w:sz w:val="32"/>
          <w:szCs w:val="32"/>
        </w:rPr>
      </w:pPr>
      <w:r w:rsidRPr="00A54F49">
        <w:rPr>
          <w:rFonts w:ascii="仿宋" w:eastAsia="仿宋" w:hAnsi="仿宋" w:cs="Times New Roman"/>
          <w:kern w:val="2"/>
          <w:sz w:val="32"/>
          <w:szCs w:val="32"/>
        </w:rPr>
        <w:t>3.活动照片10张以内（须含不同展演项目舞台、观众席等不同场景）</w:t>
      </w:r>
    </w:p>
    <w:p w:rsidR="00A54F49" w:rsidRPr="00A54F49" w:rsidRDefault="00A54F49" w:rsidP="00A54F49">
      <w:pPr>
        <w:pStyle w:val="a4"/>
        <w:shd w:val="clear" w:color="auto" w:fill="FFFFFF"/>
        <w:spacing w:before="0" w:beforeAutospacing="0" w:after="0" w:afterAutospacing="0" w:line="560" w:lineRule="exact"/>
        <w:ind w:firstLineChars="200" w:firstLine="640"/>
        <w:rPr>
          <w:rFonts w:ascii="仿宋" w:eastAsia="仿宋" w:hAnsi="仿宋"/>
        </w:rPr>
      </w:pPr>
      <w:r w:rsidRPr="00A54F49">
        <w:rPr>
          <w:rFonts w:ascii="仿宋" w:eastAsia="仿宋" w:hAnsi="仿宋" w:cs="Times New Roman"/>
          <w:kern w:val="2"/>
          <w:sz w:val="32"/>
          <w:szCs w:val="32"/>
        </w:rPr>
        <w:t>4.各区需对参加校级艺术节的参演人数、观摩人数以及区级艺术节的展演天数、参演学校数、参演人数、观摩人数进行统计并上报。</w:t>
      </w:r>
    </w:p>
    <w:p w:rsidR="009517D9" w:rsidRPr="00A54F49" w:rsidRDefault="009517D9">
      <w:pPr>
        <w:rPr>
          <w:rFonts w:ascii="仿宋" w:eastAsia="仿宋" w:hAnsi="仿宋"/>
        </w:rPr>
      </w:pPr>
    </w:p>
    <w:sectPr w:rsidR="009517D9" w:rsidRPr="00A54F49" w:rsidSect="00A54F49">
      <w:footerReference w:type="even" r:id="rId4"/>
      <w:footerReference w:type="default" r:id="rId5"/>
      <w:pgSz w:w="11906" w:h="16838" w:code="9"/>
      <w:pgMar w:top="2098" w:right="1531" w:bottom="1985" w:left="1531" w:header="851" w:footer="1418" w:gutter="0"/>
      <w:pgNumType w:fmt="numberInDash"/>
      <w:cols w:space="425"/>
      <w:titlePg/>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48D" w:rsidRPr="00DD748D" w:rsidRDefault="00A54F49">
    <w:pPr>
      <w:pStyle w:val="a3"/>
      <w:rPr>
        <w:rFonts w:ascii="宋体" w:eastAsia="宋体" w:hAnsi="宋体"/>
        <w:sz w:val="28"/>
        <w:szCs w:val="28"/>
      </w:rPr>
    </w:pPr>
    <w:r w:rsidRPr="00DD748D">
      <w:rPr>
        <w:rFonts w:ascii="宋体" w:eastAsia="宋体" w:hAnsi="宋体"/>
        <w:sz w:val="28"/>
        <w:szCs w:val="28"/>
      </w:rPr>
      <w:fldChar w:fldCharType="begin"/>
    </w:r>
    <w:r w:rsidRPr="00DD748D">
      <w:rPr>
        <w:rFonts w:ascii="宋体" w:eastAsia="宋体" w:hAnsi="宋体"/>
        <w:sz w:val="28"/>
        <w:szCs w:val="28"/>
      </w:rPr>
      <w:instrText xml:space="preserve"> PAGE   \* MERGEFORMAT </w:instrText>
    </w:r>
    <w:r w:rsidRPr="00DD748D">
      <w:rPr>
        <w:rFonts w:ascii="宋体" w:eastAsia="宋体" w:hAnsi="宋体"/>
        <w:sz w:val="28"/>
        <w:szCs w:val="28"/>
      </w:rPr>
      <w:fldChar w:fldCharType="separate"/>
    </w:r>
    <w:r w:rsidRPr="005940BE">
      <w:rPr>
        <w:rFonts w:ascii="宋体" w:eastAsia="宋体" w:hAnsi="宋体"/>
        <w:noProof/>
        <w:sz w:val="28"/>
        <w:szCs w:val="28"/>
        <w:lang w:val="zh-CN"/>
      </w:rPr>
      <w:t>-</w:t>
    </w:r>
    <w:r>
      <w:rPr>
        <w:rFonts w:ascii="宋体" w:eastAsia="宋体" w:hAnsi="宋体"/>
        <w:noProof/>
        <w:sz w:val="28"/>
        <w:szCs w:val="28"/>
      </w:rPr>
      <w:t xml:space="preserve"> 10 -</w:t>
    </w:r>
    <w:r w:rsidRPr="00DD748D">
      <w:rPr>
        <w:rFonts w:ascii="宋体" w:eastAsia="宋体" w:hAnsi="宋体"/>
        <w:sz w:val="28"/>
        <w:szCs w:val="28"/>
      </w:rPr>
      <w:fldChar w:fldCharType="end"/>
    </w:r>
  </w:p>
  <w:p w:rsidR="0045219C" w:rsidRDefault="00A54F4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748D" w:rsidRPr="00DD748D" w:rsidRDefault="00A54F49">
    <w:pPr>
      <w:pStyle w:val="a3"/>
      <w:jc w:val="right"/>
      <w:rPr>
        <w:rFonts w:ascii="宋体" w:eastAsia="宋体" w:hAnsi="宋体"/>
        <w:sz w:val="28"/>
        <w:szCs w:val="28"/>
      </w:rPr>
    </w:pPr>
    <w:r w:rsidRPr="00DD748D">
      <w:rPr>
        <w:rFonts w:ascii="宋体" w:eastAsia="宋体" w:hAnsi="宋体"/>
        <w:sz w:val="28"/>
        <w:szCs w:val="28"/>
      </w:rPr>
      <w:fldChar w:fldCharType="begin"/>
    </w:r>
    <w:r w:rsidRPr="00DD748D">
      <w:rPr>
        <w:rFonts w:ascii="宋体" w:eastAsia="宋体" w:hAnsi="宋体"/>
        <w:sz w:val="28"/>
        <w:szCs w:val="28"/>
      </w:rPr>
      <w:instrText xml:space="preserve"> PAGE   \* MERGEFORMAT </w:instrText>
    </w:r>
    <w:r w:rsidRPr="00DD748D">
      <w:rPr>
        <w:rFonts w:ascii="宋体" w:eastAsia="宋体" w:hAnsi="宋体"/>
        <w:sz w:val="28"/>
        <w:szCs w:val="28"/>
      </w:rPr>
      <w:fldChar w:fldCharType="separate"/>
    </w:r>
    <w:r w:rsidRPr="00A54F49">
      <w:rPr>
        <w:rFonts w:ascii="宋体" w:eastAsia="宋体" w:hAnsi="宋体"/>
        <w:noProof/>
        <w:sz w:val="28"/>
        <w:szCs w:val="28"/>
        <w:lang w:val="zh-CN"/>
      </w:rPr>
      <w:t>-</w:t>
    </w:r>
    <w:r>
      <w:rPr>
        <w:rFonts w:ascii="宋体" w:eastAsia="宋体" w:hAnsi="宋体"/>
        <w:noProof/>
        <w:sz w:val="28"/>
        <w:szCs w:val="28"/>
      </w:rPr>
      <w:t xml:space="preserve"> 2 -</w:t>
    </w:r>
    <w:r w:rsidRPr="00DD748D">
      <w:rPr>
        <w:rFonts w:ascii="宋体" w:eastAsia="宋体" w:hAnsi="宋体"/>
        <w:sz w:val="28"/>
        <w:szCs w:val="28"/>
      </w:rPr>
      <w:fldChar w:fldCharType="end"/>
    </w:r>
  </w:p>
  <w:p w:rsidR="00DD748D" w:rsidRDefault="00A54F49">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4F49"/>
    <w:rsid w:val="009517D9"/>
    <w:rsid w:val="00A54F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F49"/>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54F49"/>
    <w:pPr>
      <w:tabs>
        <w:tab w:val="center" w:pos="4153"/>
        <w:tab w:val="right" w:pos="8306"/>
      </w:tabs>
      <w:snapToGrid w:val="0"/>
      <w:jc w:val="left"/>
    </w:pPr>
    <w:rPr>
      <w:sz w:val="18"/>
      <w:szCs w:val="18"/>
    </w:rPr>
  </w:style>
  <w:style w:type="character" w:customStyle="1" w:styleId="Char">
    <w:name w:val="页脚 Char"/>
    <w:basedOn w:val="a0"/>
    <w:link w:val="a3"/>
    <w:uiPriority w:val="99"/>
    <w:rsid w:val="00A54F49"/>
    <w:rPr>
      <w:rFonts w:ascii="Times New Roman" w:eastAsia="仿宋_GB2312" w:hAnsi="Times New Roman" w:cs="Times New Roman"/>
      <w:sz w:val="18"/>
      <w:szCs w:val="18"/>
    </w:rPr>
  </w:style>
  <w:style w:type="paragraph" w:styleId="a4">
    <w:name w:val="Normal (Web)"/>
    <w:basedOn w:val="a"/>
    <w:uiPriority w:val="99"/>
    <w:rsid w:val="00A54F49"/>
    <w:pPr>
      <w:widowControl/>
      <w:spacing w:before="100" w:beforeAutospacing="1" w:after="100" w:afterAutospacing="1"/>
      <w:ind w:firstLine="420"/>
      <w:jc w:val="left"/>
    </w:pPr>
    <w:rPr>
      <w:rFonts w:ascii="ˎ̥" w:eastAsia="宋体" w:hAnsi="ˎ̥" w:cs="宋体"/>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397</Words>
  <Characters>2264</Characters>
  <Application>Microsoft Office Word</Application>
  <DocSecurity>0</DocSecurity>
  <Lines>18</Lines>
  <Paragraphs>5</Paragraphs>
  <ScaleCrop>false</ScaleCrop>
  <Company/>
  <LinksUpToDate>false</LinksUpToDate>
  <CharactersWithSpaces>2656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2019-12-03T03:02:00Z</dcterms:created>
  <dcterms:modified xsi:type="dcterms:W3CDTF">2019-12-03T03:03:00Z</dcterms:modified>
</cp:coreProperties>
</file>