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7528" w:rsidRDefault="004D7528" w:rsidP="004D7528">
      <w:pPr>
        <w:spacing w:line="560" w:lineRule="exact"/>
        <w:jc w:val="left"/>
        <w:rPr>
          <w:rFonts w:ascii="黑体" w:eastAsia="黑体" w:hAnsi="黑体" w:cs="黑体"/>
          <w:bCs/>
          <w:sz w:val="32"/>
          <w:szCs w:val="32"/>
        </w:rPr>
      </w:pPr>
      <w:r>
        <w:rPr>
          <w:rFonts w:ascii="黑体" w:eastAsia="黑体" w:hAnsi="黑体" w:cs="黑体" w:hint="eastAsia"/>
          <w:bCs/>
          <w:sz w:val="32"/>
          <w:szCs w:val="32"/>
        </w:rPr>
        <w:t>附件3</w:t>
      </w: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adjustRightInd w:val="0"/>
        <w:snapToGri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《北京市属普通高等学校（本科）督导规程（试行）》</w:t>
      </w:r>
      <w:r>
        <w:rPr>
          <w:rFonts w:ascii="方正小标宋简体" w:eastAsia="方正小标宋简体" w:hAnsi="方正小标宋简体" w:cs="方正小标宋简体" w:hint="eastAsia"/>
          <w:bCs/>
          <w:sz w:val="44"/>
          <w:szCs w:val="44"/>
        </w:rPr>
        <w:t>编制</w:t>
      </w:r>
      <w:r>
        <w:rPr>
          <w:rFonts w:ascii="方正小标宋简体" w:eastAsia="方正小标宋简体" w:hAnsi="方正小标宋简体" w:cs="方正小标宋简体" w:hint="eastAsia"/>
          <w:sz w:val="44"/>
          <w:szCs w:val="44"/>
        </w:rPr>
        <w:t>说明</w:t>
      </w:r>
    </w:p>
    <w:p w:rsidR="004D7528" w:rsidRDefault="004D7528" w:rsidP="004D7528">
      <w:pPr>
        <w:adjustRightInd w:val="0"/>
        <w:snapToGrid w:val="0"/>
        <w:spacing w:line="360" w:lineRule="auto"/>
        <w:jc w:val="center"/>
        <w:rPr>
          <w:rFonts w:asciiTheme="majorEastAsia" w:eastAsiaTheme="majorEastAsia" w:hAnsiTheme="majorEastAsia" w:cs="Times New Roman"/>
          <w:sz w:val="24"/>
        </w:rPr>
      </w:pP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北京市属普通高等学校（本科）督导规程》（下文简称《规程》）是《学校督导规程（试行）》的一个重要组成部分。与基础教育督导和职业教育督导不同的是，高等学校督导长期以来一直是以学校自主组织的内部督导形式而存在的。自2007年以来，北京市人民政府教育督导室开始对民办高等学校进行外部督导（政府督导），以规范其办学行为，但这次督导并未涉及公办高等学校。《规程》出台意味着将对北京市属高等学校实施全面覆盖的督导，并将建立外部督导与内部督导相结合的有中国特色的高等学校督导体系。</w:t>
      </w:r>
    </w:p>
    <w:p w:rsidR="004D7528" w:rsidRDefault="004D7528" w:rsidP="004D7528">
      <w:pPr>
        <w:adjustRightInd w:val="0"/>
        <w:snapToGrid w:val="0"/>
        <w:spacing w:line="560" w:lineRule="exact"/>
        <w:ind w:firstLine="560"/>
        <w:rPr>
          <w:rFonts w:ascii="黑体" w:eastAsia="黑体" w:hAnsi="黑体" w:cs="黑体"/>
          <w:sz w:val="32"/>
          <w:szCs w:val="32"/>
        </w:rPr>
      </w:pPr>
      <w:r>
        <w:rPr>
          <w:rFonts w:ascii="黑体" w:eastAsia="黑体" w:hAnsi="黑体" w:cs="黑体" w:hint="eastAsia"/>
          <w:sz w:val="32"/>
          <w:szCs w:val="32"/>
        </w:rPr>
        <w:t>一、《规程》的出台背景</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1995年颁布《中华人民共和国教育法》第2章“教育基本制度”的第24条规定：“国家实行教育督导制度和学校及其他教育机构教育评估制度。”虽然教育督导制度是一种针对基础教育管理工作的行政管理和监督机制，但所蕴含的管理理念、模式和运作机制，对高校也产生了广泛影响。1999年，教育部印发了《关于加强教育督导和评估工作的意见》，特别是在2001年教育部颁布了《关于加强高等学校本科教学工作提高教学质量的若干意见》的4号文件，提出要“充分认识教学工作的重要地位”、“建立健全教学质量监测和保证体系”等12条意见之后，高校纷纷开始建立教学督导制</w:t>
      </w:r>
      <w:r>
        <w:rPr>
          <w:rFonts w:ascii="仿宋_GB2312" w:eastAsia="仿宋_GB2312" w:hAnsi="仿宋_GB2312" w:cs="仿宋_GB2312" w:hint="eastAsia"/>
          <w:sz w:val="32"/>
          <w:szCs w:val="32"/>
        </w:rPr>
        <w:lastRenderedPageBreak/>
        <w:t>度。2012年，国务院颁布《教育督导条例》，明确把各级各类教育纳入督导范围，标志着教育督导走上法制化的轨道，推动了教育管理模式的变革。督导对象的全覆盖，迫切需要建立各级各类学校督导规范，从而有效促进各级各类学校素质教育的实施，督促学校依法办学，全面提高教育质量。</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中华人民共和国高等教育法》《北京市中长期教育改革和发展规划纲要(2010-2020年)》《北京市“十二五”时期教育督导发展规划》等法律和文件中都对高等教育督导做出了一些规定，说明高等学校作为我国教育的重要组成部分，也是督导的重要对象。但与中小学阶段全方位的教育督导相比较，目前我国高等学校督导主要针对高等学校教学督导或评估，并没有建立起完善的中国高等学校督导体系，更没有专门的高等学校督导规程或条例，高等学校督导制度尚需健全。</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国家中长期教育改革与发展规划纲要（2010-2020）》提出要“明确各级政府责任，规范学校办学行为，促进管办评分离，形成政事分开、权责明确、统筹协调、规范有序的教育管理体制。”在国务院教育督导委员会办公室印发《深化教育督导改革转变教育管理方式的意见》中提出“贯彻党的十八大和十八届二中、三中全会精神，落实教育规划纲要和《教育督导条例》，按照决策、执行、监督既相互制约又相互支持的原则和强化国家教育督导、深入推进管办评分离的要求，立足我国实际，借鉴国际经验，建立督促地方政府依法履行教育职责的督政机制、指导各级各类学校规范办学提高教育质量的督学体制、科学评价教育教学质量的评估监测体系，</w:t>
      </w:r>
      <w:r>
        <w:rPr>
          <w:rFonts w:ascii="仿宋_GB2312" w:eastAsia="仿宋_GB2312" w:hAnsi="仿宋_GB2312" w:cs="仿宋_GB2312" w:hint="eastAsia"/>
          <w:sz w:val="32"/>
          <w:szCs w:val="32"/>
        </w:rPr>
        <w:lastRenderedPageBreak/>
        <w:t>形成督政、督学、评估监测三位一体的教育督导体系，为促进教育事业科学发展、办好人民满意的教育提供制度保障”的总体思路。</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建立健全与首都教育治理体系和治理能力现代化相适应的、体制机制健全、职能完善、方式方法科学、手段先进、权威高效的现代教育督导体系，是全面提升支持保障首都教育事业科学发展能力，全面提升教育督导法制化、专业化和现代化水平，不断推动首都教育的改革与发展，努力办好人民满意的首都教育的必由之路。对各级各类学校包括高等学校在内实施督导，是北京市基于上述文件要求对学校督导体系作出的重大改革决策。</w:t>
      </w:r>
    </w:p>
    <w:p w:rsidR="004D7528" w:rsidRDefault="004D7528" w:rsidP="004D7528">
      <w:pPr>
        <w:adjustRightInd w:val="0"/>
        <w:snapToGrid w:val="0"/>
        <w:spacing w:line="560" w:lineRule="exact"/>
        <w:ind w:firstLine="560"/>
        <w:rPr>
          <w:rFonts w:ascii="黑体" w:eastAsia="黑体" w:hAnsi="黑体" w:cs="黑体"/>
          <w:sz w:val="32"/>
          <w:szCs w:val="32"/>
        </w:rPr>
      </w:pPr>
      <w:r>
        <w:rPr>
          <w:rFonts w:ascii="黑体" w:eastAsia="黑体" w:hAnsi="黑体" w:cs="黑体" w:hint="eastAsia"/>
          <w:sz w:val="32"/>
          <w:szCs w:val="32"/>
        </w:rPr>
        <w:t>二、出台《规程》的指导理念</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规范高等教育的办学行为，提高高等教育的质量、促进高等教育教学质量以及促进高等教育的公平和高等教育内涵式发展是高等教育督导的政策目标。从外部人和专业的视角对高等学校的办学行为、教育教学、科学研究和社会服务工作进行监督、检查、反馈，以督促高等学校更好地自主办学、更好地组织教与学、科学研究、社会服务活动，是高等学校督导的直接目标。这一视角与高等学校党政主管部门的视角不同，因此，对高等学校进行督导是政府转变高等教育管理职能的一种新尝试。</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《北京市属普通高等教育学校（本科）督导规程》坚持治理而不是管理的督导理念。一方面确保高等学校依法自主办学，另一方面高等学校办学行为需要合理的监督与问责，</w:t>
      </w:r>
      <w:r>
        <w:rPr>
          <w:rFonts w:ascii="仿宋_GB2312" w:eastAsia="仿宋_GB2312" w:hAnsi="仿宋_GB2312" w:cs="仿宋_GB2312" w:hint="eastAsia"/>
          <w:sz w:val="32"/>
          <w:szCs w:val="32"/>
        </w:rPr>
        <w:lastRenderedPageBreak/>
        <w:t>这就要求在督导者与被督导高校之间建立一种特殊的关系，使督导成为一种有效的高等学校的外部治理机制，而不是政府直接管理高等教育的学校的又一手段，在实现督导政策目标的同时避免对高等学校办学、教育教学行为的直接管理和过多干预。</w:t>
      </w:r>
    </w:p>
    <w:p w:rsidR="004D7528" w:rsidRDefault="004D7528" w:rsidP="004D7528">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三、《督导规程》的起草思路</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如果说过高等学校的内部督导是一种内部治理机制，外部督导就是一种外部治理机制。通过这一机制，高等学校与政府之间的关系得以重塑。不同的督导取向决定着督导的效果，决定着督导能否成为促进管办评分离的有效机制。</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（一）关系建设的思路</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通过督导构建一种新型的政府-高校关系是出台《规程》的重要目的之一。高等学校和中小学不同，尊重高等学校的办学自主权是进行高等学校督导的前提。在此前提下，如何把握督导重点范围和问题，如何在实施督导的过程和形式上实现督导机构与高等学校的良性互动，是在《规程》起草过程中一个重点考虑的问题。</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（二）制度建设的思路</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有效的高等学校督导需要完善的督导制度体系，包括组织领导体系、督学制度、合理的督导方式设计等等。对于这些内容，《规程》应有清晰规定。只有这样，才能  “提升督导工作水平和效能”，为办好人民满意的首都教育提供有力支撑。</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（三）能力建设的思路</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高等学校是处理高深学问的场所。对于高等学校进行督导需要督导机构和督学有宽阔的视野、长远的眼光和相应的学术能力，督导能力建设是一个不得不考虑的重要因素。《规程》中应对督导能力建设的方式方法作出具体规定。</w:t>
      </w:r>
    </w:p>
    <w:p w:rsidR="004D7528" w:rsidRDefault="004D7528" w:rsidP="004D7528">
      <w:pPr>
        <w:tabs>
          <w:tab w:val="left" w:pos="524"/>
        </w:tabs>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四、关于高等学校督导的一般性与特殊性</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高等学校督导首先是督导，因此在督导原则、督导流程等方面与其他学校督导有很多共性，但高等学校督导也有很多不同于中小学和职业院校督导的特殊性。</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督”与“导”关系的特殊性。教育督导具有高度的政策性，同时也要求很高的专业性。以“督”为主则政策性为重，以“导”为主则专业性为重。过去我国的教育督导模式偏重于“督”，因此更注重政策性，经常是一种行政执法行为。近年来国家和北京市提出新的教育督导改革方向，要求“创新督导体制机制与模式”、“加强教育督导法制化、专业化和现代化建设”，这就要求教育督导不仅要“督”，更要有“导”。和中小学、职业院校相比，高等学校学科和文化的多样性与治理的复杂性对高等学校督导的专业化、现代化提出了很大的挑战。对高等学校实施“督”已属不易，进行“导”则更难。因此高等学校督导需要更谨慎地处理“督”与“导”的关系。</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督导的内容不同。高等学校功能多样，活动内容丰富，决定了高等学校督导内容的丰富性、多样性。因此，《规程》规定：“高等学校围绕学校办学目标和学校章程，结合学校实际和办学规律，教育督导部门对高等学校实施教育督导内容</w:t>
      </w:r>
      <w:r>
        <w:rPr>
          <w:rFonts w:ascii="仿宋_GB2312" w:eastAsia="仿宋_GB2312" w:hAnsi="仿宋_GB2312" w:cs="仿宋_GB2312" w:hint="eastAsia"/>
          <w:sz w:val="32"/>
          <w:szCs w:val="32"/>
        </w:rPr>
        <w:lastRenderedPageBreak/>
        <w:t>依法办学、教育教学、队伍建设、人才培养、质量保障五个方面。”在具体的督导内容方面，结合高等学校办学活动的特征，作出了具体的规定。</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3.高等学校督导的组织与实施。因为高等学校自身的特殊性，对高等学校的督导不同于行政执法，只有足够专业的督导意见才能被高等学校采纳，因此督导组织领导机构不应只有行政权威，也应有专业权威。根据《北京市人民政府办公厅关于深化教育督导改革的实施意见》，并结合这一思路，《规程》中规定由北京市政府教育督导室统筹组织开展高等学校督导工作。根据北京市高等教育的发展，组织实施（或委托第三方机构开展）对市属高校的督导评估。</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督导实施思路方面，基于高等学校的特殊性，《规程》提出高等学校内外结合督导的原则，将完善高等学校内部督导机制作为推进督导工作的重要方向，规定“高等学校要结合学校实际和办学规律，完善内部督导工作领导机制，建立健全内部督导组织机构，明确内部督导工作牵头部门，成立专业督导队伍。”</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对高等学校督学也突出了相对特殊的素质要求。《规程》规定，除满足督学的任职要求外，高等学校督导专家还应具备不少于以下一种条件：1.具有高等教育行政管理经验，在教育行政管理部门担任过副处级及以上职务；2.在高等教育研究领域有广泛影响；3.具有重要社会影响力，在行业中起到领军作用。另外专兼职督学和督导专家要定期接受高等教育和教育督导相关培训，提升专业素养和工作能力。</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在督导方式上强调对高等教育学校进行专项督导，不强调经常性督导。因为市属高校归北京市直接管理，《规程》中对高等学校督导报告、结果公示和结果使用的相应规定也与中小学不同，如《规程》规定将督导报告提交北京市人民政府，同时向北京市教育委员会通报督导情况，为政府及教育行政主管部门提供决策参考；将督导评估报告纳入高校本科教学质量年报和相关工作报告，等等。</w:t>
      </w:r>
    </w:p>
    <w:p w:rsidR="004D7528" w:rsidRDefault="004D7528" w:rsidP="004D7528">
      <w:pPr>
        <w:adjustRightInd w:val="0"/>
        <w:snapToGrid w:val="0"/>
        <w:spacing w:line="560" w:lineRule="exact"/>
        <w:ind w:firstLine="560"/>
        <w:rPr>
          <w:rFonts w:ascii="黑体" w:eastAsia="黑体" w:hAnsi="黑体" w:cs="黑体"/>
          <w:sz w:val="32"/>
          <w:szCs w:val="32"/>
        </w:rPr>
      </w:pPr>
      <w:r>
        <w:rPr>
          <w:rFonts w:ascii="黑体" w:eastAsia="黑体" w:hAnsi="黑体" w:cs="黑体" w:hint="eastAsia"/>
          <w:sz w:val="32"/>
          <w:szCs w:val="32"/>
        </w:rPr>
        <w:t>五、《规程》内容解读</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关于第一章，总则。</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建立健全与首都教育治理体系和治理能力现代化相适应的、体制机制健全、职能完善、方式方法科学、手段先进、权威高效的现代教育督导体系，是全面提升支持保障首都教育事业科学发展能力，全面提升教育督导法制化、专业化和现代化水平，不断推动首都教育的改革与发展，努力办好人民满意的首都教育的必由之路。高等教育是首都教育的重要板块，高等学校督导则是一种新的高等教育外部治理机制，因此加快建设高等院校教育督导体系是建立首都现代教育督导体系的关键环节。部分主要明确了教育督导依据、学校督导原则、本规程的适用范围等督导工作的总体思路。具体分为3部分的内容。</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关于督导的依据。在1995年颁布的《中华人民共和国教育法》第二章“教育基本制度”的第二十四条规定：“国家实行教育督导制度和学校及其他教育机构教育评估制度。”虽然教育督导制度是一种针对基础教育管理工作的行政管理</w:t>
      </w:r>
      <w:r>
        <w:rPr>
          <w:rFonts w:ascii="仿宋_GB2312" w:eastAsia="仿宋_GB2312" w:hAnsi="仿宋_GB2312" w:cs="仿宋_GB2312" w:hint="eastAsia"/>
          <w:sz w:val="32"/>
          <w:szCs w:val="32"/>
        </w:rPr>
        <w:lastRenderedPageBreak/>
        <w:t>和监督机制，但所蕴含的管理理念、模式和运作机制，对高校也产生了广泛影响，教学督导制度被作为加强教学建设、深化教学管理改革的有力措施。1999年，教育部印发了《关于加强教育督导和评估工作的意见》，特别是在2001年教育部颁布了《关于加强高等学校本科教学工作提高教学质量的若干意见》的4号文件，提出要“充分认识教学工作的重要地位”、“建立健全教学质量监测和保证体系”等12条意见之后，高校纷纷开始建立教学督导制度。北京市普通高等学校（本科）督导规程明确指出实施高等学校（本科）督导的依据为《中华人民共和国教育法》《中华人民共和国高等教育法》和国务院《教育督导条例》等相关法律法规，贯彻落实《北京市人民政府办公厅关于深化教育督导改革的实施意见》等文件精神，并结合本市实际，制定本规程。</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关于督导的原则。明确高等学校督导工作的特殊性，突出强调保证办学自主权、督导标准和流程规范、坚持实际出发，发挥监督与指导的双重功能，注重外部督导与内部督导结合，注重督导实效，规范开展督导工作。具体表达为：依法依规原则、质量为本原则客观公正原则、督导并重原则、统筹兼顾原则。</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关于适用的范围。规程明确指出适用于本市行政区域内法律、法规规定范围内的市属公办和民办普通高等学校（本科）。</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关于第二章，督导实施。</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目前英法等国的教育督导主要由独立于政府和高校的第</w:t>
      </w:r>
      <w:r>
        <w:rPr>
          <w:rFonts w:ascii="仿宋_GB2312" w:eastAsia="仿宋_GB2312" w:hAnsi="仿宋_GB2312" w:cs="仿宋_GB2312" w:hint="eastAsia"/>
          <w:sz w:val="32"/>
          <w:szCs w:val="32"/>
        </w:rPr>
        <w:lastRenderedPageBreak/>
        <w:t>三方机构进行。与英法等国不同，本条明确了教育督导组织机构是人民政府的机构，即北京市人民政府教育督导机构是北京市人民政府的机构，为改变目前教育督导机构是教育行政部门内设机构的状况提供了法律依据。</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目前我国高等学校的教学管理不是单纯的行政管理, 而是行政管理和学术管理的结合。世界上许多发达国家在大学的教学管理中, 学术管理功能是由教授会来行使的, 教务管理部门主要行使行政事务管理功能。现阶段，我国高等学校没有设立教授会。由于高等学校的教学具有多专业、多课程、多环节的特点, 教学管理涉及教育教学培养计划, 学科专业建设,教师教的质量和学生学的质量,教材建设,教风、学风及教学秩序管理，社会服务功能，文化传承等诸多方面，充分体现了高等学校教学管理的特殊性和复杂性；教育督导作为教育教学管理的重要部分，《规程》明确高等学校的督导以内部督导为主，强化“导”是目的，“督”是手段；“督”在“导”的前面，是“导”的基础与依据；“导”是“督”的发展与深化，“导”是教学督导工作的中心。</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六条明确规定了高等学校教育督导部门的职权和范围，有利于教育督导机构更好地开展教育督导工作。教育督导部门是特殊的教育行政监督部门，在熟悉掌握有关的法律、法规、规章和方针、政策的同时，对高等教育学校和其教育教学行为进行教育督导。本条既规范了教育督导部门的权利范围，又突出其在督导工作中的重要地位和作用，既“督政”，又“督管”、“督学”。</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第七条明确了教育督导工作的五个方面。这五方面内容着重突出解决现实问题，不仅体现了教育督导工作的科学性，专业性，严肃性，也增强了教育督导工作的针对性和实效性。</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北京市高等教育督导工作处于起步阶段，高校缺乏内外部结合的教学督导和教学质量监控意识，《规程》将内部督导和外部评价结合，激发高校对教育质量提升的追求和自觉行动，通过逐步完善自我评价机制，形成有效的自我监控能力。</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督导的过程中，坚持督导结合、以导为主的原则。始终坚持评估与研讨相结合，督中有导，导中有督，督导结合，重在引导。使被督导高校处于督导活动中处于主体地位，督导工作者起辅助、激励作用，二者之间建立起和谐、宽容、平等、合作、信任的关系。从而建立起适合与北京市高等教育发展需要适配的质量保障体系，实施科学合理、形式多样、效果显著的质量保障方法与措施,促进北京市高等教育的健康与快速发展,满足北京市地方经济建设发展的需要。</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高校教学督导工作的功能在于促进高等学校教学目标的实现、保证教学质量的提高。教育督导评估指标体系作为督导评估的纲领和准则，在质与量两个层面规定评估的内容和标准。教育督导工作是以建立督导指标体系为基础的，因此发挥督导评估对教育事业的督导作用，建立健全与其相适应的评估指标体系是十分必要的。只有充分发挥督导评估指标体系的功能，才能进一步有效实现教学目标和提高教育教学质量。围绕这一中心工作，第九条明确了在实行教育督导的过程中，制定教育督导评估指标体系的重要性，为顺利实</w:t>
      </w:r>
      <w:r>
        <w:rPr>
          <w:rFonts w:ascii="仿宋_GB2312" w:eastAsia="仿宋_GB2312" w:hAnsi="仿宋_GB2312" w:cs="仿宋_GB2312" w:hint="eastAsia"/>
          <w:sz w:val="32"/>
          <w:szCs w:val="32"/>
        </w:rPr>
        <w:lastRenderedPageBreak/>
        <w:t>行督导工作提供了规范要求，使教育督导工作能够做到有的放矢。</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关于督导流程设计。高等教育督导工作的流程设计直接影响督导的工作质量。严格督导流程,有利于保证监督的公开、公正和有效。实施专项督导或者综合督导，应当事先确定督导事项，并事先向被督导单位发出书面督导通知，要求学校首先进行自评。在督导过程中，要征求公众对被督导单位的意见，同时采取多种形式听取学生和教师的意见。督导小组对被督导单位的自评报告、现场考察情况和公众的意见进行评议，形成初步督导意见，并向被督导单位进行反馈。教育督导机构根据督导小组的初步督导意见，综合分析被督导单位的申辩意见，向被督导单位发出督导意见书，责成被督导单位按照督导意见书的要求进行整改，形成整改报告，并对整改情况进行跟踪。在众多环节中，缺一不可。督导基本流程推进督导管理体系从传统、静态模式向规范、动态方向发展,逐步使督导体系规范化、流程化和科学化。</w:t>
      </w:r>
    </w:p>
    <w:p w:rsidR="004D7528" w:rsidRDefault="004D7528" w:rsidP="004D7528">
      <w:pPr>
        <w:adjustRightInd w:val="0"/>
        <w:snapToGrid w:val="0"/>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关于第三章，督导队伍。</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督导队伍的对于督导工作的进行具有重要的影响。教育督导是由教育督导组织及其成员根据教育的科学理论和国家的教育法律法规政策，运用科学的方法和手段，对教育工作进行监督、检查、评估和指导，以促进教育效率和教育质量提高的过程。</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随着我国高等教育规模的不断扩大，高等学校的数量也随之增多，因此对于教师专业化水平的提高、教育学科的分</w:t>
      </w:r>
      <w:r>
        <w:rPr>
          <w:rFonts w:ascii="仿宋_GB2312" w:eastAsia="仿宋_GB2312" w:hAnsi="仿宋_GB2312" w:cs="仿宋_GB2312" w:hint="eastAsia"/>
          <w:sz w:val="32"/>
          <w:szCs w:val="32"/>
        </w:rPr>
        <w:lastRenderedPageBreak/>
        <w:t>化和教育分工的细化等方面需要教育督导队伍进行职能的转变，对教育督导人员则需要更高的水平和专业水准，而原来靠经验进行教育督导的人员已不能满足教育改革和发展的需要。教育督导部门根据督导的主要事项及要求建立督导队伍。这部分主要强调三部分具体的内容。</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关于督学队伍的建设。各大高校是根据自己学校的实际情况和认识，确定教学督导人员的组成，其随意性较大。各大高校教学督导机构的管理主要有单独设置由校长直接管理或由分管教学的副校长管理、由教务处的教学质量科或教学研究科代管或者隶属于教务处的一个部门。教学督导组的人员组成主要有在职教职工兼任、聘请校外人员兼任及离退休教职工兼任或者离退休教职工和在职教职工共同兼任等。不同的管理模式和人员组成则会有不同的隶属关系，不同的人员素质、心态和人际关系，必然会导致不同的督导效果。因此在规程中强调教育督导部门根据督导主要事项及具体要求组建督导组，督导组由三名以上督学和若干督导专家组成。对于兼职督学必须符合《教育督导条例》和《北京市督学管理暂行办法》要求，并适应高等教育改革发展需要，熟悉高等教育人才培养规律和高等学校办学规律。</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关于督导人员的构成。主要集中于督导专家的组成、督导专家的条件以及督导专家的职责。高校的教育督导人员多从学校退休的教师或退休干部中聘任，尽管他们在某一学科领域的研究很专业，但并不能覆盖学校中的整个学科体系，难免会造成高校教育督导工作某方面甚至多方面的“盲区”。</w:t>
      </w:r>
      <w:r>
        <w:rPr>
          <w:rFonts w:ascii="仿宋_GB2312" w:eastAsia="仿宋_GB2312" w:hAnsi="仿宋_GB2312" w:cs="仿宋_GB2312" w:hint="eastAsia"/>
          <w:sz w:val="32"/>
          <w:szCs w:val="32"/>
        </w:rPr>
        <w:lastRenderedPageBreak/>
        <w:t>为保证督导队伍的质量，《规程》中强调高等教育督导专家库的建立包括高等教育专家、行业专家、社会知名人士等，从专家库中聘任督导专家。同时指出督导专家实行聘任制，每届任期为三年，与兼职督学聘期相同。可以连续任职，一般不得超过三个任期，任期届满，自动解聘。其次，绝大多数督导（包括各个层次）是“先工作，后获证”且获证的难度系数为零。我国教育督导理论发展也十分滞后，有关高校和培训机构基本上没有教育督导这个专业，课程也很少开设，仅有北京师范大学和华东师范大学建立了国家级培训基地，各地的督导培训几乎没有基本保障。督导队伍建设中督导专家的水平对督导工作具有重要的作用。因此对于督导专家任职的条件以及专家指责作了明确规定：督导专家必须具备高等教育行政管理经验，在教育行政管理部门担任过副处级及以上职务；在高等教育研究领域有广泛影响；具有重要社会影响力，在行业中起到领军作用。同时专家指责强调对学校进行建议。</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关于督导专家的培训。为保证督导队伍的质量。规程强调专兼职督学和督导专家要定期接受高等教育和教育督导相关培训，提升专业素养和工作能力。</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关于第四章，督导结果。</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高等学校督导是政府行为，具有强制性和权威性。充分发挥教育督导对教育改革发展的推动和促进作用，要抓好教育督导结果的落实与运用，否则教育督导就会流于形式，有“结果”无“效果”。为此《规程》明确要将督导反馈结果体</w:t>
      </w:r>
      <w:r>
        <w:rPr>
          <w:rFonts w:ascii="仿宋_GB2312" w:eastAsia="仿宋_GB2312" w:hAnsi="仿宋_GB2312" w:cs="仿宋_GB2312" w:hint="eastAsia"/>
          <w:sz w:val="32"/>
          <w:szCs w:val="32"/>
        </w:rPr>
        <w:lastRenderedPageBreak/>
        <w:t>现到下一年工作计划的制定中，同时也是北京市人民政府将教育督导结果作为教育决策、教育项目安排和对被督导单位及其主要负责人进行考核、奖惩的重要依据，正是督导强制性和权威性的体现。</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督导工作应本着公平、公正、公开的原则，将督导报告向社会公开，积极接受社会监督，真正做到阳光督导，提高教育督导工作的公信力。督导信息公开是督导工作现代化、法制化的重要体现。《规程》规定：“北京市人民政府教育督导室应将督导结果通过政府公众信息网或新闻媒体向社会公布，接受社会监督”，是体现了督导信息公开的思路。</w:t>
      </w:r>
    </w:p>
    <w:p w:rsidR="004D7528" w:rsidRDefault="004D7528" w:rsidP="004D7528">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最后，关于附则。主要对与《规程》的实行与解释事宜等进行了必要的规定。</w:t>
      </w:r>
    </w:p>
    <w:p w:rsidR="004D7528" w:rsidRDefault="004D7528" w:rsidP="004D7528">
      <w:pPr>
        <w:adjustRightInd w:val="0"/>
        <w:snapToGrid w:val="0"/>
        <w:spacing w:line="360" w:lineRule="auto"/>
        <w:rPr>
          <w:rFonts w:asciiTheme="majorEastAsia" w:eastAsiaTheme="majorEastAsia" w:hAnsiTheme="majorEastAsia" w:cs="Times New Roman"/>
          <w:sz w:val="24"/>
        </w:rPr>
      </w:pPr>
      <w:r>
        <w:rPr>
          <w:rFonts w:asciiTheme="majorEastAsia" w:eastAsiaTheme="majorEastAsia" w:hAnsiTheme="majorEastAsia" w:cs="Times New Roman" w:hint="eastAsia"/>
          <w:sz w:val="24"/>
        </w:rPr>
        <w:t xml:space="preserve">  </w:t>
      </w: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Default="004D7528" w:rsidP="004D7528">
      <w:pPr>
        <w:spacing w:line="520" w:lineRule="exact"/>
        <w:ind w:firstLineChars="200" w:firstLine="640"/>
        <w:rPr>
          <w:rFonts w:ascii="仿宋_GB2312" w:eastAsia="仿宋_GB2312"/>
          <w:sz w:val="32"/>
          <w:szCs w:val="32"/>
        </w:rPr>
      </w:pPr>
    </w:p>
    <w:p w:rsidR="004D7528" w:rsidRPr="00493B6B" w:rsidRDefault="004D7528" w:rsidP="004D7528"/>
    <w:p w:rsidR="004D7528" w:rsidRPr="005953A5" w:rsidRDefault="004D7528" w:rsidP="004D7528"/>
    <w:p w:rsidR="005953A5" w:rsidRPr="004D7528" w:rsidRDefault="005953A5" w:rsidP="004D7528">
      <w:bookmarkStart w:id="0" w:name="_GoBack"/>
      <w:bookmarkEnd w:id="0"/>
    </w:p>
    <w:sectPr w:rsidR="005953A5" w:rsidRPr="004D7528" w:rsidSect="00671D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5DEB" w:rsidRDefault="00235DEB" w:rsidP="00780DBA">
      <w:r>
        <w:separator/>
      </w:r>
    </w:p>
  </w:endnote>
  <w:endnote w:type="continuationSeparator" w:id="0">
    <w:p w:rsidR="00235DEB" w:rsidRDefault="00235DEB" w:rsidP="00780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5DEB" w:rsidRDefault="00235DEB" w:rsidP="00780DBA">
      <w:r>
        <w:separator/>
      </w:r>
    </w:p>
  </w:footnote>
  <w:footnote w:type="continuationSeparator" w:id="0">
    <w:p w:rsidR="00235DEB" w:rsidRDefault="00235DEB" w:rsidP="00780D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B74877"/>
    <w:multiLevelType w:val="singleLevel"/>
    <w:tmpl w:val="59B74877"/>
    <w:lvl w:ilvl="0">
      <w:start w:val="1"/>
      <w:numFmt w:val="chineseCounting"/>
      <w:suff w:val="nothing"/>
      <w:lvlText w:val="%1、"/>
      <w:lvlJc w:val="left"/>
    </w:lvl>
  </w:abstractNum>
  <w:abstractNum w:abstractNumId="1" w15:restartNumberingAfterBreak="0">
    <w:nsid w:val="59B748AE"/>
    <w:multiLevelType w:val="singleLevel"/>
    <w:tmpl w:val="59B748AE"/>
    <w:lvl w:ilvl="0">
      <w:start w:val="3"/>
      <w:numFmt w:val="chineseCounting"/>
      <w:suff w:val="nothing"/>
      <w:lvlText w:val="%1、"/>
      <w:lvlJc w:val="left"/>
    </w:lvl>
  </w:abstractNum>
  <w:abstractNum w:abstractNumId="2" w15:restartNumberingAfterBreak="0">
    <w:nsid w:val="59E5542E"/>
    <w:multiLevelType w:val="singleLevel"/>
    <w:tmpl w:val="59E5542E"/>
    <w:lvl w:ilvl="0">
      <w:start w:val="1"/>
      <w:numFmt w:val="chineseCounting"/>
      <w:suff w:val="nothing"/>
      <w:lvlText w:val="第%1部"/>
      <w:lvlJc w:val="left"/>
    </w:lvl>
  </w:abstractNum>
  <w:abstractNum w:abstractNumId="3" w15:restartNumberingAfterBreak="0">
    <w:nsid w:val="59E74B67"/>
    <w:multiLevelType w:val="singleLevel"/>
    <w:tmpl w:val="59E74B67"/>
    <w:lvl w:ilvl="0">
      <w:start w:val="4"/>
      <w:numFmt w:val="chineseCounting"/>
      <w:suff w:val="nothing"/>
      <w:lvlText w:val="第%1部"/>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B6B"/>
    <w:rsid w:val="000F7346"/>
    <w:rsid w:val="00235DEB"/>
    <w:rsid w:val="002F394C"/>
    <w:rsid w:val="00493B6B"/>
    <w:rsid w:val="004D7528"/>
    <w:rsid w:val="005953A5"/>
    <w:rsid w:val="00671DC1"/>
    <w:rsid w:val="00712AEF"/>
    <w:rsid w:val="00780DBA"/>
    <w:rsid w:val="008B6A18"/>
    <w:rsid w:val="0091347E"/>
    <w:rsid w:val="00953E8B"/>
    <w:rsid w:val="00A7607E"/>
    <w:rsid w:val="00EA50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E6C79B8-BA03-4BCD-9BFF-0C3624A23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3B6B"/>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80D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80DBA"/>
    <w:rPr>
      <w:sz w:val="18"/>
      <w:szCs w:val="18"/>
    </w:rPr>
  </w:style>
  <w:style w:type="paragraph" w:styleId="a4">
    <w:name w:val="footer"/>
    <w:basedOn w:val="a"/>
    <w:link w:val="Char0"/>
    <w:uiPriority w:val="99"/>
    <w:unhideWhenUsed/>
    <w:rsid w:val="00780DBA"/>
    <w:pPr>
      <w:tabs>
        <w:tab w:val="center" w:pos="4153"/>
        <w:tab w:val="right" w:pos="8306"/>
      </w:tabs>
      <w:snapToGrid w:val="0"/>
      <w:jc w:val="left"/>
    </w:pPr>
    <w:rPr>
      <w:sz w:val="18"/>
      <w:szCs w:val="18"/>
    </w:rPr>
  </w:style>
  <w:style w:type="character" w:customStyle="1" w:styleId="Char0">
    <w:name w:val="页脚 Char"/>
    <w:basedOn w:val="a0"/>
    <w:link w:val="a4"/>
    <w:uiPriority w:val="99"/>
    <w:rsid w:val="00780DB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1169</Words>
  <Characters>6665</Characters>
  <Application>Microsoft Office Word</Application>
  <DocSecurity>0</DocSecurity>
  <Lines>55</Lines>
  <Paragraphs>15</Paragraphs>
  <ScaleCrop>false</ScaleCrop>
  <Company>Lenovo (Beijing) Limited</Company>
  <LinksUpToDate>false</LinksUpToDate>
  <CharactersWithSpaces>7819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龙梅</dc:creator>
  <cp:keywords/>
  <dc:description/>
  <cp:lastModifiedBy>whj</cp:lastModifiedBy>
  <cp:revision>2</cp:revision>
  <dcterms:created xsi:type="dcterms:W3CDTF">2019-07-08T08:44:00Z</dcterms:created>
  <dcterms:modified xsi:type="dcterms:W3CDTF">2019-07-08T08:44:00Z</dcterms:modified>
</cp:coreProperties>
</file>